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jc w:val="center"/>
        <w:rPr>
          <w:rFonts w:hint="eastAsia" w:ascii="黑体" w:hAnsi="黑体" w:eastAsia="黑体" w:cs="黑体"/>
        </w:rPr>
      </w:pPr>
      <w:r>
        <w:rPr>
          <w:rFonts w:hint="eastAsia" w:ascii="黑体" w:hAnsi="黑体" w:eastAsia="黑体" w:cs="黑体"/>
          <w:sz w:val="28"/>
          <w:szCs w:val="28"/>
        </w:rPr>
        <w:t>湖南省新零售连锁便利店规范</w:t>
      </w:r>
      <w:bookmarkStart w:id="0" w:name="_GoBack"/>
      <w:bookmarkEnd w:id="0"/>
    </w:p>
    <w:p>
      <w:pPr>
        <w:pStyle w:val="40"/>
      </w:pPr>
      <w:r>
        <w:rPr>
          <w:rFonts w:hint="eastAsia"/>
        </w:rPr>
        <w:t>范围</w:t>
      </w:r>
    </w:p>
    <w:p>
      <w:pPr>
        <w:pStyle w:val="20"/>
      </w:pPr>
      <w:r>
        <w:rPr>
          <w:rFonts w:hint="eastAsia"/>
        </w:rPr>
        <w:t>本规范适用于湖南省新零售便利店经营管理</w:t>
      </w:r>
    </w:p>
    <w:p>
      <w:pPr>
        <w:pStyle w:val="40"/>
      </w:pPr>
      <w:r>
        <w:rPr>
          <w:rFonts w:hint="eastAsia"/>
        </w:rPr>
        <w:t>规范性引用文件</w:t>
      </w:r>
    </w:p>
    <w:p>
      <w:pPr>
        <w:pStyle w:val="20"/>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0"/>
        <w:ind w:firstLine="0" w:firstLineChars="0"/>
        <w:rPr>
          <w:rFonts w:hint="eastAsia"/>
        </w:rPr>
      </w:pPr>
      <w:r>
        <w:rPr>
          <w:rFonts w:hint="eastAsia"/>
        </w:rPr>
        <w:t>GB/T 24421.1-2009 服务业组织标准化工作指南 第1部分：基本要求</w:t>
      </w:r>
    </w:p>
    <w:p>
      <w:pPr>
        <w:pStyle w:val="20"/>
        <w:ind w:firstLine="0" w:firstLineChars="0"/>
        <w:rPr>
          <w:rFonts w:hint="eastAsia"/>
        </w:rPr>
      </w:pPr>
      <w:r>
        <w:rPr>
          <w:rFonts w:hint="eastAsia"/>
        </w:rPr>
        <w:t>GB/T 18106 零售业态分类</w:t>
      </w:r>
    </w:p>
    <w:p>
      <w:pPr>
        <w:pStyle w:val="20"/>
        <w:ind w:firstLine="0" w:firstLineChars="0"/>
        <w:rPr>
          <w:rFonts w:hint="eastAsia"/>
        </w:rPr>
      </w:pPr>
      <w:r>
        <w:rPr>
          <w:rFonts w:hint="eastAsia"/>
        </w:rPr>
        <w:t>SB/T 10512.1-2008 零售业基层岗位技能要求 营业员</w:t>
      </w:r>
    </w:p>
    <w:p>
      <w:pPr>
        <w:pStyle w:val="20"/>
        <w:ind w:firstLine="0" w:firstLineChars="0"/>
        <w:rPr>
          <w:rFonts w:hint="eastAsia"/>
        </w:rPr>
      </w:pPr>
      <w:r>
        <w:rPr>
          <w:rFonts w:hint="eastAsia"/>
        </w:rPr>
        <w:t>SB/T 10512.2-2008 零售业基层岗位技能要求 收货员</w:t>
      </w:r>
    </w:p>
    <w:p>
      <w:pPr>
        <w:pStyle w:val="20"/>
        <w:ind w:firstLine="0" w:firstLineChars="0"/>
        <w:rPr>
          <w:rFonts w:hint="eastAsia"/>
        </w:rPr>
      </w:pPr>
      <w:r>
        <w:rPr>
          <w:rFonts w:hint="eastAsia"/>
        </w:rPr>
        <w:t>SB/T 10512.5-2008 零售业基层岗位技能要求 收银员</w:t>
      </w:r>
    </w:p>
    <w:p>
      <w:pPr>
        <w:pStyle w:val="20"/>
        <w:ind w:firstLine="0" w:firstLineChars="0"/>
        <w:rPr>
          <w:rFonts w:hint="eastAsia"/>
        </w:rPr>
      </w:pPr>
      <w:r>
        <w:rPr>
          <w:rFonts w:hint="eastAsia"/>
        </w:rPr>
        <w:t>SB/T 10512.6-2010 零售业基层岗位技能要求 前台接待员</w:t>
      </w:r>
    </w:p>
    <w:p>
      <w:pPr>
        <w:pStyle w:val="40"/>
        <w:jc w:val="left"/>
      </w:pPr>
      <w:r>
        <w:rPr>
          <w:rFonts w:hint="eastAsia"/>
        </w:rPr>
        <w:t>术语和定义</w:t>
      </w:r>
    </w:p>
    <w:p>
      <w:pPr>
        <w:pStyle w:val="20"/>
      </w:pPr>
      <w:r>
        <w:rPr>
          <w:rFonts w:hint="eastAsia"/>
        </w:rPr>
        <w:t>下列术语的定义适用于本规范。</w:t>
      </w:r>
    </w:p>
    <w:p>
      <w:pPr>
        <w:pStyle w:val="37"/>
      </w:pPr>
      <w:r>
        <w:rPr>
          <w:rFonts w:hint="eastAsia"/>
        </w:rPr>
        <w:t>新零售</w:t>
      </w:r>
    </w:p>
    <w:p>
      <w:pPr>
        <w:pStyle w:val="20"/>
        <w:rPr>
          <w:rFonts w:hint="eastAsia"/>
        </w:rPr>
      </w:pPr>
      <w:r>
        <w:rPr>
          <w:rFonts w:hint="eastAsia"/>
        </w:rPr>
        <w:t>以实体零售店为基础，以信息技术为基础的</w:t>
      </w:r>
      <w:r>
        <w:rPr>
          <w:rFonts w:hint="eastAsia" w:hAnsi="宋体"/>
        </w:rPr>
        <w:t>互联网</w:t>
      </w:r>
      <w:r>
        <w:rPr>
          <w:rFonts w:hint="eastAsia"/>
        </w:rPr>
        <w:t>平台、人工智能为手段实现最大限度地满足消费者的需求为目的的新型零售商业模式。</w:t>
      </w:r>
    </w:p>
    <w:p>
      <w:pPr>
        <w:pStyle w:val="37"/>
      </w:pPr>
      <w:r>
        <w:rPr>
          <w:rFonts w:hint="eastAsia" w:hAnsi="黑体"/>
        </w:rPr>
        <w:t>连锁便利店</w:t>
      </w:r>
    </w:p>
    <w:p>
      <w:pPr>
        <w:pStyle w:val="20"/>
        <w:rPr>
          <w:rFonts w:hint="eastAsia"/>
        </w:rPr>
      </w:pPr>
      <w:r>
        <w:rPr>
          <w:rFonts w:hint="eastAsia"/>
        </w:rPr>
        <w:t>连锁便利店由多个实体零售店组成，实行规范化管理，可统一订货，实行集中合理化配送；实行采购与销售职能分离。连锁便利店由总部、门店和配送中心（或委托配送机构）构成。</w:t>
      </w:r>
    </w:p>
    <w:p>
      <w:pPr>
        <w:pStyle w:val="40"/>
        <w:rPr>
          <w:rFonts w:hint="eastAsia"/>
        </w:rPr>
      </w:pPr>
      <w:r>
        <w:rPr>
          <w:rFonts w:hint="eastAsia"/>
        </w:rPr>
        <w:t>经营模式</w:t>
      </w:r>
    </w:p>
    <w:p>
      <w:pPr>
        <w:pStyle w:val="37"/>
        <w:numPr>
          <w:ilvl w:val="0"/>
          <w:numId w:val="0"/>
        </w:numPr>
        <w:ind w:firstLine="424" w:firstLineChars="202"/>
        <w:rPr>
          <w:rFonts w:hint="eastAsia" w:ascii="宋体" w:hAnsi="宋体" w:eastAsia="宋体"/>
        </w:rPr>
      </w:pPr>
      <w:r>
        <w:rPr>
          <w:rFonts w:hint="eastAsia" w:ascii="宋体" w:hAnsi="宋体" w:eastAsia="宋体"/>
        </w:rPr>
        <w:t>以实体零售店为基础，运用现代信息技术手段，建立综合信息化系统管理平台，收集、管理和利用日常运营数据，精准定位顾客需求，通过线上引导、线上成交、线下服务的方式，以达到满足各类顾客需求的经营模式。</w:t>
      </w:r>
    </w:p>
    <w:p>
      <w:pPr>
        <w:pStyle w:val="40"/>
        <w:rPr>
          <w:rFonts w:hint="eastAsia"/>
        </w:rPr>
      </w:pPr>
      <w:r>
        <w:rPr>
          <w:rFonts w:hint="eastAsia"/>
        </w:rPr>
        <w:t>经营内容</w:t>
      </w:r>
    </w:p>
    <w:p>
      <w:pPr>
        <w:pStyle w:val="20"/>
        <w:rPr>
          <w:rFonts w:hint="eastAsia"/>
        </w:rPr>
      </w:pPr>
      <w:r>
        <w:rPr>
          <w:rFonts w:hint="eastAsia"/>
        </w:rPr>
        <w:t>各类日常生活用品、副食、生鲜、水果等商品，提供</w:t>
      </w:r>
      <w:r>
        <w:rPr>
          <w:rFonts w:hint="eastAsia"/>
          <w:color w:val="000000"/>
        </w:rPr>
        <w:t>快递、维修、家政、保洁、打印、便民充值服务等</w:t>
      </w:r>
      <w:r>
        <w:rPr>
          <w:rFonts w:hint="eastAsia"/>
        </w:rPr>
        <w:t>各类便民服务</w:t>
      </w:r>
      <w:r>
        <w:rPr>
          <w:rFonts w:hint="eastAsia"/>
          <w:color w:val="000000"/>
        </w:rPr>
        <w:t>。</w:t>
      </w:r>
    </w:p>
    <w:p>
      <w:pPr>
        <w:pStyle w:val="40"/>
      </w:pPr>
      <w:r>
        <w:rPr>
          <w:rFonts w:hint="eastAsia"/>
        </w:rPr>
        <w:t>经营原则</w:t>
      </w:r>
    </w:p>
    <w:p>
      <w:pPr>
        <w:pStyle w:val="20"/>
        <w:rPr>
          <w:rFonts w:hint="eastAsia"/>
        </w:rPr>
      </w:pPr>
      <w:r>
        <w:rPr>
          <w:rFonts w:hint="eastAsia"/>
        </w:rPr>
        <w:t>应坚持跟随科学进步、尽最大可能满足顾客不断变化的需求的原则。利用现代信息技术和大数据分析手段，建立稳固的顾客关系，从顾客需求的角度出发，设计产品配置结构；加强产品的开发与设计，为顾客提供更加多样化、个性化的产品；坚持产品管理的“便利、新鲜、放心”三原则。</w:t>
      </w:r>
    </w:p>
    <w:p>
      <w:pPr>
        <w:pStyle w:val="40"/>
      </w:pPr>
      <w:r>
        <w:rPr>
          <w:rFonts w:hint="eastAsia"/>
        </w:rPr>
        <w:t>信息技术运用</w:t>
      </w:r>
    </w:p>
    <w:p>
      <w:pPr>
        <w:pStyle w:val="120"/>
        <w:rPr>
          <w:rFonts w:hint="eastAsia"/>
        </w:rPr>
      </w:pPr>
      <w:r>
        <w:rPr>
          <w:rFonts w:hint="eastAsia"/>
        </w:rPr>
        <w:t xml:space="preserve"> 通过运用现代信息技术手段如人工智能、互联网、大数据、商品条码管理等，将线上线下深度结合起来，利用虚拟现实技术，强化用户网络体验，延伸服务功能；</w:t>
      </w:r>
    </w:p>
    <w:p>
      <w:pPr>
        <w:pStyle w:val="120"/>
      </w:pPr>
      <w:r>
        <w:rPr>
          <w:rFonts w:hint="eastAsia"/>
        </w:rPr>
        <w:t>线上选购支付，线下自提配送，在线预约送货；</w:t>
      </w:r>
    </w:p>
    <w:p>
      <w:pPr>
        <w:pStyle w:val="120"/>
      </w:pPr>
      <w:r>
        <w:rPr>
          <w:rFonts w:hint="eastAsia"/>
        </w:rPr>
        <w:t>线上体验：微商城、小程序、购物APP等。</w:t>
      </w:r>
    </w:p>
    <w:p>
      <w:pPr>
        <w:pStyle w:val="40"/>
      </w:pPr>
      <w:r>
        <w:rPr>
          <w:rFonts w:hint="eastAsia"/>
        </w:rPr>
        <w:t>新零售连锁便利店管理</w:t>
      </w:r>
    </w:p>
    <w:p>
      <w:pPr>
        <w:pStyle w:val="120"/>
        <w:rPr>
          <w:rFonts w:hint="eastAsia"/>
        </w:rPr>
      </w:pPr>
      <w:r>
        <w:rPr>
          <w:rFonts w:hint="eastAsia"/>
        </w:rPr>
        <w:t>优化选址策略；</w:t>
      </w:r>
    </w:p>
    <w:p>
      <w:pPr>
        <w:pStyle w:val="120"/>
        <w:rPr>
          <w:rFonts w:hint="eastAsia"/>
        </w:rPr>
      </w:pPr>
      <w:r>
        <w:rPr>
          <w:rFonts w:hint="eastAsia"/>
        </w:rPr>
        <w:t>优化店内环境和完善消费体验，可设置即食区、休息区和简约加工区，供顾客体验和作短暂休息</w:t>
      </w:r>
    </w:p>
    <w:p>
      <w:pPr>
        <w:pStyle w:val="120"/>
        <w:rPr>
          <w:rFonts w:hint="eastAsia"/>
        </w:rPr>
      </w:pPr>
      <w:r>
        <w:rPr>
          <w:rFonts w:hint="eastAsia"/>
        </w:rPr>
        <w:t>完善人才培养体系，建立标准化培训手册，定期培训员工，提升其经营管理能力和信息技术应用水平；</w:t>
      </w:r>
    </w:p>
    <w:p>
      <w:pPr>
        <w:pStyle w:val="120"/>
        <w:rPr>
          <w:rFonts w:hint="eastAsia"/>
        </w:rPr>
      </w:pPr>
      <w:r>
        <w:rPr>
          <w:rFonts w:hint="eastAsia"/>
        </w:rPr>
        <w:t>建立完善的员工绩效考核制度；</w:t>
      </w:r>
    </w:p>
    <w:p>
      <w:pPr>
        <w:pStyle w:val="120"/>
        <w:rPr>
          <w:rFonts w:hint="eastAsia"/>
        </w:rPr>
      </w:pPr>
      <w:r>
        <w:rPr>
          <w:rFonts w:hint="eastAsia"/>
        </w:rPr>
        <w:t>建设智能管理销售系统，利用大数据分析、人工智能、现代互联网等信息技术手段，将购、销、存、顾客等信息集成在一起，对新零售连锁便利店经营进行信息化智慧管理；实现销售规模化，统购分销，及时配送；</w:t>
      </w:r>
    </w:p>
    <w:p>
      <w:pPr>
        <w:pStyle w:val="120"/>
        <w:rPr>
          <w:rFonts w:hint="eastAsia"/>
        </w:rPr>
      </w:pPr>
      <w:r>
        <w:rPr>
          <w:rFonts w:hint="eastAsia"/>
        </w:rPr>
        <w:t>强化连锁便利店品牌建设，应统一品牌、统一识别、统一形象、统一执行品牌总部提供的视觉识别系统管理手册。</w:t>
      </w:r>
    </w:p>
    <w:p>
      <w:pPr>
        <w:pStyle w:val="40"/>
      </w:pPr>
      <w:r>
        <w:rPr>
          <w:rFonts w:hint="eastAsia"/>
        </w:rPr>
        <w:t>物流配送</w:t>
      </w:r>
    </w:p>
    <w:p>
      <w:pPr>
        <w:pStyle w:val="37"/>
      </w:pPr>
      <w:r>
        <w:rPr>
          <w:rFonts w:hint="eastAsia"/>
        </w:rPr>
        <w:t>物流配送方式</w:t>
      </w:r>
    </w:p>
    <w:p>
      <w:pPr>
        <w:pStyle w:val="58"/>
      </w:pPr>
      <w:r>
        <w:rPr>
          <w:rFonts w:hint="eastAsia"/>
        </w:rPr>
        <w:t>供货商直送方式</w:t>
      </w:r>
    </w:p>
    <w:p>
      <w:pPr>
        <w:pStyle w:val="20"/>
      </w:pPr>
      <w:r>
        <w:rPr>
          <w:rFonts w:hint="eastAsia"/>
        </w:rPr>
        <w:t>货物配送依靠供货商完成。供货商负责把供应商生产的货物迅速有效地配送到各门店。</w:t>
      </w:r>
    </w:p>
    <w:p>
      <w:pPr>
        <w:pStyle w:val="58"/>
      </w:pPr>
      <w:r>
        <w:rPr>
          <w:rFonts w:hint="eastAsia"/>
        </w:rPr>
        <w:t>第三方配送方式</w:t>
      </w:r>
    </w:p>
    <w:p>
      <w:pPr>
        <w:pStyle w:val="20"/>
        <w:rPr>
          <w:szCs w:val="21"/>
        </w:rPr>
      </w:pPr>
      <w:r>
        <w:t>总部将采购的商品统一委托第三方配送服务商管理，并根据门店的订货需求和总部的配送指令，代表总部向各个门店进行货物配送。</w:t>
      </w:r>
    </w:p>
    <w:p>
      <w:pPr>
        <w:pStyle w:val="58"/>
      </w:pPr>
      <w:r>
        <w:rPr>
          <w:rFonts w:hint="eastAsia"/>
        </w:rPr>
        <w:t>自建配送中心方式</w:t>
      </w:r>
    </w:p>
    <w:p>
      <w:pPr>
        <w:pStyle w:val="20"/>
      </w:pPr>
      <w:r>
        <w:t>由总部直接投资建立配送中心，统一采购商品至配送中心，由配送中心根据订单需求向门店开展货物配送服务。便利店企业一般采取自建配送中心的模式</w:t>
      </w:r>
      <w:r>
        <w:rPr>
          <w:rFonts w:hint="eastAsia"/>
        </w:rPr>
        <w:t>。</w:t>
      </w:r>
    </w:p>
    <w:p>
      <w:pPr>
        <w:pStyle w:val="37"/>
      </w:pPr>
      <w:r>
        <w:rPr>
          <w:rFonts w:hint="eastAsia"/>
        </w:rPr>
        <w:t>物流配送管理</w:t>
      </w:r>
    </w:p>
    <w:p>
      <w:pPr>
        <w:pStyle w:val="58"/>
      </w:pPr>
      <w:r>
        <w:rPr>
          <w:rFonts w:hint="eastAsia"/>
        </w:rPr>
        <w:t>通过现代信息技术（互联网大数据技术、云技术、商业分析技术等）,分析顾客的需求特征，建立以顾客高效反应为基础的物流配送系统。</w:t>
      </w:r>
    </w:p>
    <w:p>
      <w:pPr>
        <w:pStyle w:val="58"/>
      </w:pPr>
      <w:r>
        <w:rPr>
          <w:rFonts w:hint="eastAsia"/>
        </w:rPr>
        <w:t>物流配送应遵循小批量、多批次、高频度、高效率的原则。</w:t>
      </w:r>
    </w:p>
    <w:p>
      <w:pPr>
        <w:pStyle w:val="58"/>
      </w:pPr>
      <w:r>
        <w:rPr>
          <w:rFonts w:hint="eastAsia"/>
        </w:rPr>
        <w:t>建设含管理中心、互联网服务中心、订货中心、采购中心、结算中心和配送中心在内的物流配送体系，利用现代信息技术管理手段，对便利店经营的产品实施全过程管理。</w:t>
      </w:r>
    </w:p>
    <w:p>
      <w:pPr>
        <w:pStyle w:val="40"/>
        <w:rPr>
          <w:rFonts w:hint="eastAsia"/>
        </w:rPr>
      </w:pPr>
      <w:r>
        <w:rPr>
          <w:rFonts w:hint="eastAsia"/>
        </w:rPr>
        <w:t>信息技术平台</w:t>
      </w:r>
    </w:p>
    <w:p>
      <w:pPr>
        <w:pStyle w:val="20"/>
      </w:pPr>
      <w:r>
        <w:rPr>
          <w:rFonts w:hint="eastAsia"/>
        </w:rPr>
        <w:t>新零售连锁便利店经营者可自主建立信息技术平台或选择第三方信息技术平台。</w:t>
      </w:r>
    </w:p>
    <w:p>
      <w:pPr>
        <w:pStyle w:val="37"/>
        <w:rPr>
          <w:rFonts w:hint="eastAsia"/>
        </w:rPr>
      </w:pPr>
      <w:r>
        <w:rPr>
          <w:rFonts w:hint="eastAsia"/>
        </w:rPr>
        <w:t>自建信息技术平台</w:t>
      </w:r>
    </w:p>
    <w:p>
      <w:pPr>
        <w:pStyle w:val="58"/>
        <w:numPr>
          <w:ilvl w:val="0"/>
          <w:numId w:val="0"/>
        </w:numPr>
        <w:ind w:firstLine="424" w:firstLineChars="202"/>
        <w:rPr>
          <w:rFonts w:hint="eastAsia"/>
        </w:rPr>
      </w:pPr>
      <w:r>
        <w:rPr>
          <w:rFonts w:hint="eastAsia"/>
        </w:rPr>
        <w:t>使用现代信息技术，根据物流、信息、商品、财务、人力资源管理、客户管理等方面的需要，自建全面高度集中综合信息网络系统平台包括：收银系统、商品管理系统、物流系统、财务系统、客户管理系统、营销系统、人力资源管理系统、信息统合数据分析系统、信息技术支持系统。</w:t>
      </w:r>
    </w:p>
    <w:p>
      <w:pPr>
        <w:pStyle w:val="37"/>
        <w:rPr>
          <w:rFonts w:hint="eastAsia"/>
          <w:color w:val="000000"/>
        </w:rPr>
      </w:pPr>
      <w:r>
        <w:rPr>
          <w:rFonts w:hint="eastAsia"/>
          <w:color w:val="000000"/>
        </w:rPr>
        <w:t>第三方信息技术平台</w:t>
      </w:r>
    </w:p>
    <w:p>
      <w:pPr>
        <w:pStyle w:val="58"/>
        <w:numPr>
          <w:ilvl w:val="0"/>
          <w:numId w:val="0"/>
        </w:numPr>
        <w:ind w:firstLine="424" w:firstLineChars="202"/>
        <w:rPr>
          <w:rFonts w:hint="eastAsia"/>
        </w:rPr>
      </w:pPr>
      <w:r>
        <w:rPr>
          <w:rFonts w:hint="eastAsia"/>
        </w:rPr>
        <w:t>根据物流、信息、商品、财务、人力资源管理、客户管理等方面的需要，整合门店需求的相关数据，委托第三方信息技术平台，建立全面高度集中综合信息网络系统平台包括：收银系统、商品管理系统、物流系统、财务系统、客户管理系统、营销系统、人力资源管理系统、信息统合数据分析系统。</w:t>
      </w:r>
    </w:p>
    <w:p>
      <w:pPr>
        <w:pStyle w:val="40"/>
      </w:pPr>
      <w:r>
        <w:rPr>
          <w:rFonts w:hint="eastAsia"/>
        </w:rPr>
        <w:t>门店功能区域设置及设备设施配置</w:t>
      </w:r>
    </w:p>
    <w:p>
      <w:pPr>
        <w:pStyle w:val="37"/>
      </w:pPr>
      <w:r>
        <w:rPr>
          <w:rFonts w:hint="eastAsia"/>
        </w:rPr>
        <w:t>门店功能区域设置</w:t>
      </w:r>
    </w:p>
    <w:p>
      <w:pPr>
        <w:pStyle w:val="20"/>
        <w:rPr>
          <w:color w:val="000000"/>
        </w:rPr>
      </w:pPr>
      <w:r>
        <w:rPr>
          <w:rFonts w:hint="eastAsia"/>
          <w:color w:val="000000"/>
        </w:rPr>
        <w:t>门店应设置收银区、即食商品设备加工区、商品陈列区、休息区、顾客体验区等。</w:t>
      </w:r>
    </w:p>
    <w:p>
      <w:pPr>
        <w:pStyle w:val="37"/>
      </w:pPr>
      <w:r>
        <w:rPr>
          <w:rFonts w:hint="eastAsia"/>
        </w:rPr>
        <w:t>门店设备配置要求</w:t>
      </w:r>
    </w:p>
    <w:p>
      <w:pPr>
        <w:pStyle w:val="20"/>
      </w:pPr>
      <w:r>
        <w:rPr>
          <w:rFonts w:hint="eastAsia"/>
        </w:rPr>
        <w:t>门店设备配置要求见表1.</w:t>
      </w:r>
    </w:p>
    <w:p>
      <w:pPr>
        <w:pStyle w:val="121"/>
      </w:pPr>
      <w:r>
        <w:rPr>
          <w:rFonts w:hint="eastAsia"/>
        </w:rPr>
        <w:t>门店设备配置要求</w:t>
      </w:r>
    </w:p>
    <w:tbl>
      <w:tblPr>
        <w:tblStyle w:val="34"/>
        <w:tblW w:w="8516" w:type="dxa"/>
        <w:tblInd w:w="0" w:type="dxa"/>
        <w:tblLayout w:type="fixed"/>
        <w:tblCellMar>
          <w:top w:w="15" w:type="dxa"/>
          <w:left w:w="15" w:type="dxa"/>
          <w:bottom w:w="15" w:type="dxa"/>
          <w:right w:w="15" w:type="dxa"/>
        </w:tblCellMar>
      </w:tblPr>
      <w:tblGrid>
        <w:gridCol w:w="582"/>
        <w:gridCol w:w="884"/>
        <w:gridCol w:w="1620"/>
        <w:gridCol w:w="945"/>
        <w:gridCol w:w="2367"/>
        <w:gridCol w:w="2118"/>
      </w:tblGrid>
      <w:tr>
        <w:tblPrEx>
          <w:tblLayout w:type="fixed"/>
        </w:tblPrEx>
        <w:tc>
          <w:tcPr>
            <w:tcW w:w="582"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bCs/>
                <w:kern w:val="0"/>
                <w:szCs w:val="21"/>
              </w:rPr>
              <w:t>标准门店</w:t>
            </w:r>
          </w:p>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bCs/>
                <w:kern w:val="0"/>
                <w:szCs w:val="21"/>
              </w:rPr>
              <w:t>设备配置</w:t>
            </w:r>
          </w:p>
        </w:tc>
        <w:tc>
          <w:tcPr>
            <w:tcW w:w="88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bCs/>
                <w:kern w:val="0"/>
                <w:szCs w:val="21"/>
              </w:rPr>
              <w:t>面积</w:t>
            </w:r>
          </w:p>
        </w:tc>
        <w:tc>
          <w:tcPr>
            <w:tcW w:w="16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bCs/>
                <w:kern w:val="0"/>
                <w:szCs w:val="21"/>
              </w:rPr>
              <w:t>配置设备名称</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jc w:val="left"/>
              <w:rPr>
                <w:rFonts w:ascii="宋体" w:hAnsi="宋体" w:cs="宋体"/>
                <w:kern w:val="0"/>
                <w:szCs w:val="21"/>
              </w:rPr>
            </w:pPr>
            <w:r>
              <w:rPr>
                <w:rFonts w:hint="eastAsia" w:ascii="宋体" w:hAnsi="宋体" w:cs="宋体"/>
                <w:bCs/>
                <w:kern w:val="0"/>
                <w:szCs w:val="21"/>
              </w:rPr>
              <w:t>规格标准</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bCs/>
                <w:kern w:val="0"/>
                <w:szCs w:val="21"/>
              </w:rPr>
              <w:t>说明</w:t>
            </w:r>
          </w:p>
        </w:tc>
        <w:tc>
          <w:tcPr>
            <w:tcW w:w="211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bCs/>
                <w:kern w:val="0"/>
                <w:szCs w:val="21"/>
              </w:rPr>
              <w:t>备注</w:t>
            </w: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restart"/>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rPr>
                <w:rFonts w:hint="eastAsia" w:ascii="宋体" w:hAnsi="宋体" w:cs="宋体"/>
                <w:kern w:val="0"/>
                <w:szCs w:val="21"/>
              </w:rPr>
            </w:pPr>
          </w:p>
          <w:p>
            <w:pPr>
              <w:widowControl/>
              <w:spacing w:before="100" w:beforeAutospacing="1" w:after="100" w:afterAutospacing="1" w:line="360" w:lineRule="atLeast"/>
              <w:rPr>
                <w:rFonts w:hint="eastAsia" w:ascii="宋体" w:hAnsi="宋体" w:cs="宋体"/>
                <w:kern w:val="0"/>
                <w:szCs w:val="21"/>
              </w:rPr>
            </w:pPr>
          </w:p>
          <w:p>
            <w:pPr>
              <w:widowControl/>
              <w:spacing w:before="100" w:beforeAutospacing="1" w:after="100" w:afterAutospacing="1" w:line="360" w:lineRule="atLeast"/>
              <w:rPr>
                <w:rFonts w:hint="eastAsia" w:ascii="宋体" w:hAnsi="宋体" w:cs="宋体"/>
                <w:kern w:val="0"/>
                <w:szCs w:val="21"/>
              </w:rPr>
            </w:pPr>
          </w:p>
          <w:p>
            <w:pPr>
              <w:widowControl/>
              <w:spacing w:before="100" w:beforeAutospacing="1" w:after="100" w:afterAutospacing="1" w:line="360" w:lineRule="atLeast"/>
              <w:rPr>
                <w:rFonts w:hint="eastAsia" w:ascii="宋体" w:hAnsi="宋体" w:cs="宋体"/>
                <w:kern w:val="0"/>
                <w:szCs w:val="21"/>
              </w:rPr>
            </w:pPr>
          </w:p>
          <w:p>
            <w:pPr>
              <w:widowControl/>
              <w:spacing w:before="100" w:beforeAutospacing="1" w:after="100" w:afterAutospacing="1" w:line="360" w:lineRule="atLeast"/>
              <w:rPr>
                <w:rFonts w:hint="eastAsia" w:ascii="宋体" w:hAnsi="宋体" w:cs="宋体"/>
                <w:kern w:val="0"/>
                <w:szCs w:val="21"/>
              </w:rPr>
            </w:pPr>
          </w:p>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kern w:val="0"/>
                <w:szCs w:val="21"/>
              </w:rPr>
              <w:t>80-300</w:t>
            </w:r>
          </w:p>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kern w:val="0"/>
                <w:szCs w:val="21"/>
              </w:rPr>
              <w:t>平方米</w:t>
            </w: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灯箱招牌</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kern w:val="0"/>
                <w:szCs w:val="21"/>
              </w:rPr>
              <w:t>1-2</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根据门店实际环境</w:t>
            </w:r>
          </w:p>
        </w:tc>
        <w:tc>
          <w:tcPr>
            <w:tcW w:w="2118"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平台雪柜</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操作台下方是冷冻</w:t>
            </w:r>
          </w:p>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柜的一体设备</w:t>
            </w:r>
          </w:p>
        </w:tc>
        <w:tc>
          <w:tcPr>
            <w:tcW w:w="2118" w:type="dxa"/>
            <w:vMerge w:val="restart"/>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此为便利店标准门店的基本配置，除此之外门店可根据店面及实际业务情况增加或减少相应配套设备。</w:t>
            </w: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操作台</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3</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hint="eastAsia" w:ascii="宋体" w:hAnsi="宋体" w:cs="宋体"/>
                <w:kern w:val="0"/>
                <w:szCs w:val="21"/>
              </w:rPr>
            </w:pPr>
            <w:r>
              <w:rPr>
                <w:rFonts w:hint="eastAsia" w:ascii="宋体" w:hAnsi="宋体" w:cs="宋体"/>
                <w:kern w:val="0"/>
                <w:szCs w:val="21"/>
              </w:rPr>
              <w:t>智能收银设备</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hint="eastAsia" w:ascii="宋体" w:hAnsi="宋体" w:cs="宋体"/>
                <w:kern w:val="0"/>
                <w:szCs w:val="21"/>
              </w:rPr>
            </w:pPr>
            <w:r>
              <w:rPr>
                <w:rFonts w:hint="eastAsia" w:ascii="宋体" w:hAnsi="宋体" w:cs="宋体"/>
                <w:kern w:val="0"/>
                <w:szCs w:val="21"/>
              </w:rPr>
              <w:t>2</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hint="eastAsia" w:ascii="宋体" w:hAnsi="宋体" w:cs="宋体"/>
                <w:kern w:val="0"/>
                <w:szCs w:val="21"/>
              </w:rPr>
            </w:pPr>
            <w:r>
              <w:rPr>
                <w:rFonts w:hint="eastAsia" w:ascii="宋体" w:hAnsi="宋体" w:cs="宋体"/>
                <w:szCs w:val="21"/>
                <w:shd w:val="clear" w:color="auto" w:fill="FFFFFF"/>
              </w:rPr>
              <w:t>收银机可搭载人脸摄像系统、防损摄像系统、顾客信息收集等</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tabs>
                <w:tab w:val="left" w:pos="609"/>
              </w:tabs>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ab/>
            </w:r>
            <w:r>
              <w:rPr>
                <w:rFonts w:hint="eastAsia" w:ascii="宋体" w:hAnsi="宋体" w:cs="宋体"/>
                <w:kern w:val="0"/>
                <w:szCs w:val="21"/>
              </w:rPr>
              <w:t>计算机</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tabs>
                <w:tab w:val="left" w:pos="230"/>
              </w:tabs>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ab/>
            </w:r>
            <w:r>
              <w:rPr>
                <w:rFonts w:hint="eastAsia" w:ascii="宋体" w:hAnsi="宋体" w:cs="宋体"/>
                <w:kern w:val="0"/>
                <w:szCs w:val="21"/>
              </w:rPr>
              <w:t>　事务室用</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顾客餐台</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2</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630" w:firstLineChars="300"/>
              <w:jc w:val="left"/>
              <w:rPr>
                <w:rFonts w:ascii="宋体" w:hAnsi="宋体" w:cs="宋体"/>
                <w:kern w:val="0"/>
                <w:szCs w:val="21"/>
              </w:rPr>
            </w:pPr>
            <w:r>
              <w:rPr>
                <w:rFonts w:hint="eastAsia" w:ascii="宋体" w:hAnsi="宋体" w:cs="宋体"/>
                <w:kern w:val="0"/>
                <w:szCs w:val="21"/>
              </w:rPr>
              <w:t>即食区</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功放设备</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监控探头</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8</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以实际布置为准</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免费WIFI</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商品陈列架</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jc w:val="center"/>
              <w:rPr>
                <w:rFonts w:ascii="宋体" w:hAnsi="宋体" w:cs="宋体"/>
                <w:kern w:val="0"/>
                <w:szCs w:val="21"/>
              </w:rPr>
            </w:pPr>
            <w:r>
              <w:rPr>
                <w:rFonts w:hint="eastAsia" w:ascii="宋体" w:hAnsi="宋体" w:cs="宋体"/>
                <w:kern w:val="0"/>
                <w:szCs w:val="21"/>
              </w:rPr>
              <w:t>25</w:t>
            </w:r>
            <w:r>
              <w:rPr>
                <w:rFonts w:ascii="宋体" w:hAnsi="宋体" w:cs="宋体"/>
                <w:kern w:val="0"/>
                <w:szCs w:val="21"/>
              </w:rPr>
              <w:t>–</w:t>
            </w:r>
            <w:r>
              <w:rPr>
                <w:rFonts w:hint="eastAsia" w:ascii="宋体" w:hAnsi="宋体" w:cs="宋体"/>
                <w:kern w:val="0"/>
                <w:szCs w:val="21"/>
              </w:rPr>
              <w:t>35</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货架数量</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充电桩</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手机充电</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立式冷藏柜</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立式冷冻柜</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灯箱看板</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ascii="宋体" w:hAnsi="宋体" w:cs="宋体"/>
                <w:kern w:val="0"/>
                <w:szCs w:val="21"/>
              </w:rPr>
            </w:pPr>
            <w:r>
              <w:rPr>
                <w:rFonts w:hint="eastAsia" w:ascii="宋体" w:hAnsi="宋体" w:cs="宋体"/>
                <w:kern w:val="0"/>
                <w:szCs w:val="21"/>
              </w:rPr>
              <w:t>液晶显示屏</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ascii="宋体" w:hAnsi="宋体" w:cs="宋体"/>
                <w:kern w:val="0"/>
                <w:szCs w:val="21"/>
              </w:rPr>
            </w:pPr>
            <w:r>
              <w:rPr>
                <w:rFonts w:hint="eastAsia" w:ascii="宋体" w:hAnsi="宋体" w:cs="宋体"/>
                <w:kern w:val="0"/>
                <w:szCs w:val="21"/>
              </w:rPr>
              <w:t>　</w:t>
            </w:r>
          </w:p>
        </w:tc>
        <w:tc>
          <w:tcPr>
            <w:tcW w:w="21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hint="eastAsia" w:ascii="宋体" w:hAnsi="宋体" w:cs="宋体"/>
                <w:kern w:val="0"/>
                <w:szCs w:val="21"/>
              </w:rPr>
            </w:pPr>
            <w:r>
              <w:rPr>
                <w:rFonts w:hint="eastAsia" w:ascii="宋体" w:hAnsi="宋体" w:cs="宋体"/>
                <w:kern w:val="0"/>
                <w:szCs w:val="21"/>
              </w:rPr>
              <w:t>自助收银设备</w:t>
            </w: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hint="eastAsia" w:ascii="宋体" w:hAnsi="宋体" w:cs="宋体"/>
                <w:kern w:val="0"/>
                <w:szCs w:val="21"/>
              </w:rPr>
            </w:pPr>
            <w:r>
              <w:rPr>
                <w:rFonts w:hint="eastAsia" w:ascii="宋体" w:hAnsi="宋体" w:cs="宋体"/>
                <w:kern w:val="0"/>
                <w:szCs w:val="21"/>
              </w:rPr>
              <w:t>1</w:t>
            </w: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jc w:val="left"/>
              <w:rPr>
                <w:rFonts w:hint="eastAsia" w:ascii="宋体" w:hAnsi="宋体" w:cs="宋体"/>
                <w:kern w:val="0"/>
                <w:szCs w:val="21"/>
              </w:rPr>
            </w:pPr>
          </w:p>
        </w:tc>
        <w:tc>
          <w:tcPr>
            <w:tcW w:w="211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r>
        <w:tblPrEx>
          <w:tblLayout w:type="fixed"/>
          <w:tblCellMar>
            <w:top w:w="15" w:type="dxa"/>
            <w:left w:w="15" w:type="dxa"/>
            <w:bottom w:w="15" w:type="dxa"/>
            <w:right w:w="15" w:type="dxa"/>
          </w:tblCellMar>
        </w:tblPrEx>
        <w:tc>
          <w:tcPr>
            <w:tcW w:w="58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8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620"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center"/>
              <w:rPr>
                <w:rFonts w:hint="eastAsia" w:ascii="宋体" w:hAnsi="宋体" w:cs="宋体"/>
                <w:kern w:val="0"/>
                <w:szCs w:val="21"/>
              </w:rPr>
            </w:pPr>
          </w:p>
        </w:tc>
        <w:tc>
          <w:tcPr>
            <w:tcW w:w="945"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ind w:firstLine="300"/>
              <w:jc w:val="left"/>
              <w:rPr>
                <w:rFonts w:hint="eastAsia" w:ascii="宋体" w:hAnsi="宋体" w:cs="宋体"/>
                <w:kern w:val="0"/>
                <w:szCs w:val="21"/>
              </w:rPr>
            </w:pPr>
          </w:p>
        </w:tc>
        <w:tc>
          <w:tcPr>
            <w:tcW w:w="236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line="360" w:lineRule="atLeast"/>
              <w:jc w:val="left"/>
              <w:rPr>
                <w:rFonts w:hint="eastAsia" w:ascii="宋体" w:hAnsi="宋体" w:cs="宋体"/>
                <w:kern w:val="0"/>
                <w:szCs w:val="21"/>
              </w:rPr>
            </w:pPr>
          </w:p>
        </w:tc>
        <w:tc>
          <w:tcPr>
            <w:tcW w:w="211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r>
    </w:tbl>
    <w:p>
      <w:pPr>
        <w:pStyle w:val="20"/>
        <w:ind w:firstLine="0" w:firstLineChars="0"/>
      </w:pPr>
    </w:p>
    <w:p>
      <w:pPr>
        <w:pStyle w:val="58"/>
        <w:spacing w:before="50" w:after="50"/>
      </w:pPr>
      <w:r>
        <w:rPr>
          <w:rFonts w:hint="eastAsia"/>
        </w:rPr>
        <w:t>门店硬件设施配置要求</w:t>
      </w:r>
    </w:p>
    <w:p>
      <w:pPr>
        <w:pStyle w:val="20"/>
        <w:rPr>
          <w:rFonts w:hint="eastAsia"/>
        </w:rPr>
      </w:pPr>
      <w:r>
        <w:rPr>
          <w:rFonts w:hint="eastAsia"/>
        </w:rPr>
        <w:t>门店硬件设施配置要求见表2.</w:t>
      </w:r>
    </w:p>
    <w:p>
      <w:pPr>
        <w:pStyle w:val="121"/>
      </w:pPr>
      <w:r>
        <w:rPr>
          <w:rFonts w:hint="eastAsia"/>
        </w:rPr>
        <w:t>门店硬件设施配置要求</w:t>
      </w:r>
    </w:p>
    <w:tbl>
      <w:tblPr>
        <w:tblStyle w:val="34"/>
        <w:tblW w:w="8522" w:type="dxa"/>
        <w:tblInd w:w="0" w:type="dxa"/>
        <w:tblLayout w:type="fixed"/>
        <w:tblCellMar>
          <w:top w:w="15" w:type="dxa"/>
          <w:left w:w="15" w:type="dxa"/>
          <w:bottom w:w="15" w:type="dxa"/>
          <w:right w:w="15" w:type="dxa"/>
        </w:tblCellMar>
      </w:tblPr>
      <w:tblGrid>
        <w:gridCol w:w="646"/>
        <w:gridCol w:w="1052"/>
        <w:gridCol w:w="1804"/>
        <w:gridCol w:w="5020"/>
      </w:tblGrid>
      <w:tr>
        <w:tblPrEx>
          <w:tblLayout w:type="fixed"/>
          <w:tblCellMar>
            <w:top w:w="15" w:type="dxa"/>
            <w:left w:w="15" w:type="dxa"/>
            <w:bottom w:w="15" w:type="dxa"/>
            <w:right w:w="15" w:type="dxa"/>
          </w:tblCellMar>
        </w:tblPrEx>
        <w:tc>
          <w:tcPr>
            <w:tcW w:w="64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jc w:val="center"/>
              <w:rPr>
                <w:rFonts w:ascii="宋体" w:hAnsi="宋体" w:cs="宋体"/>
                <w:color w:val="000000"/>
                <w:kern w:val="0"/>
                <w:szCs w:val="21"/>
              </w:rPr>
            </w:pPr>
            <w:r>
              <w:rPr>
                <w:rFonts w:hint="eastAsia" w:ascii="宋体" w:hAnsi="宋体" w:cs="宋体"/>
                <w:bCs/>
                <w:color w:val="0C0C0C"/>
                <w:kern w:val="0"/>
                <w:szCs w:val="21"/>
              </w:rPr>
              <w:t>标准门店设施硬件配套</w:t>
            </w:r>
          </w:p>
        </w:tc>
        <w:tc>
          <w:tcPr>
            <w:tcW w:w="1052"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bCs/>
                <w:color w:val="0C0C0C"/>
                <w:kern w:val="0"/>
                <w:szCs w:val="21"/>
              </w:rPr>
              <w:t>面积</w:t>
            </w: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bCs/>
                <w:color w:val="0C0C0C"/>
                <w:kern w:val="0"/>
                <w:szCs w:val="21"/>
              </w:rPr>
              <w:t>配置设备名称</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bCs/>
                <w:color w:val="0C0C0C"/>
                <w:kern w:val="0"/>
                <w:szCs w:val="21"/>
              </w:rPr>
              <w:t>规格标准</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jc w:val="center"/>
              <w:rPr>
                <w:rFonts w:ascii="宋体" w:hAnsi="宋体" w:cs="宋体"/>
                <w:color w:val="000000"/>
                <w:kern w:val="0"/>
                <w:szCs w:val="21"/>
              </w:rPr>
            </w:pPr>
            <w:r>
              <w:rPr>
                <w:rFonts w:hint="eastAsia" w:ascii="宋体" w:hAnsi="宋体" w:cs="宋体"/>
                <w:color w:val="0C0C0C"/>
                <w:kern w:val="0"/>
                <w:szCs w:val="21"/>
              </w:rPr>
              <w:t>80-200</w:t>
            </w:r>
          </w:p>
          <w:p>
            <w:pPr>
              <w:widowControl/>
              <w:spacing w:before="100" w:beforeAutospacing="1" w:after="100" w:afterAutospacing="1" w:line="360" w:lineRule="atLeast"/>
              <w:jc w:val="center"/>
              <w:rPr>
                <w:rFonts w:ascii="宋体" w:hAnsi="宋体" w:cs="宋体"/>
                <w:color w:val="000000"/>
                <w:kern w:val="0"/>
                <w:szCs w:val="21"/>
              </w:rPr>
            </w:pPr>
            <w:r>
              <w:rPr>
                <w:rFonts w:hint="eastAsia" w:ascii="宋体" w:hAnsi="宋体" w:cs="宋体"/>
                <w:color w:val="0C0C0C"/>
                <w:kern w:val="0"/>
                <w:szCs w:val="21"/>
              </w:rPr>
              <w:t>平方米</w:t>
            </w: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给水设备</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管径不低于25mm给水管</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排水设备</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管径不低于110mm排水管</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电力设备</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提供380V三组5线式电源</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电源配置</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65kw，120A以上</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消防设备</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具备消防系统，应符合消防安全要求</w:t>
            </w:r>
          </w:p>
        </w:tc>
      </w:tr>
      <w:tr>
        <w:tblPrEx>
          <w:tblLayout w:type="fixed"/>
          <w:tblCellMar>
            <w:top w:w="15" w:type="dxa"/>
            <w:left w:w="15" w:type="dxa"/>
            <w:bottom w:w="15" w:type="dxa"/>
            <w:right w:w="15" w:type="dxa"/>
          </w:tblCellMar>
        </w:tblPrEx>
        <w:tc>
          <w:tcPr>
            <w:tcW w:w="64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0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180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其他</w:t>
            </w:r>
          </w:p>
        </w:tc>
        <w:tc>
          <w:tcPr>
            <w:tcW w:w="5020"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line="360" w:lineRule="atLeast"/>
              <w:ind w:firstLine="300"/>
              <w:jc w:val="center"/>
              <w:rPr>
                <w:rFonts w:ascii="宋体" w:hAnsi="宋体" w:cs="宋体"/>
                <w:color w:val="000000"/>
                <w:kern w:val="0"/>
                <w:szCs w:val="21"/>
              </w:rPr>
            </w:pPr>
            <w:r>
              <w:rPr>
                <w:rFonts w:hint="eastAsia" w:ascii="宋体" w:hAnsi="宋体" w:cs="宋体"/>
                <w:color w:val="0C0C0C"/>
                <w:kern w:val="0"/>
                <w:szCs w:val="21"/>
              </w:rPr>
              <w:t>原则上店内需有或可建卫生间</w:t>
            </w:r>
          </w:p>
        </w:tc>
      </w:tr>
    </w:tbl>
    <w:p>
      <w:pPr>
        <w:pStyle w:val="40"/>
      </w:pPr>
      <w:r>
        <w:rPr>
          <w:rFonts w:hint="eastAsia"/>
        </w:rPr>
        <w:t>员工要求</w:t>
      </w:r>
    </w:p>
    <w:p>
      <w:pPr>
        <w:pStyle w:val="37"/>
      </w:pPr>
      <w:r>
        <w:rPr>
          <w:rFonts w:hint="eastAsia"/>
        </w:rPr>
        <w:t>员工基本要求</w:t>
      </w:r>
    </w:p>
    <w:p>
      <w:pPr>
        <w:pStyle w:val="20"/>
      </w:pPr>
      <w:r>
        <w:rPr>
          <w:rFonts w:hint="eastAsia"/>
        </w:rPr>
        <w:t>所有员工身份证、健康证齐全，符合相应岗位要求。</w:t>
      </w:r>
    </w:p>
    <w:p>
      <w:pPr>
        <w:pStyle w:val="37"/>
      </w:pPr>
      <w:r>
        <w:rPr>
          <w:rFonts w:hint="eastAsia"/>
        </w:rPr>
        <w:t>员工行为规范</w:t>
      </w:r>
    </w:p>
    <w:p>
      <w:pPr>
        <w:pStyle w:val="20"/>
      </w:pPr>
      <w:r>
        <w:rPr>
          <w:rFonts w:hint="eastAsia"/>
        </w:rPr>
        <w:t>员工应遵新零售便利店制定的相关行为规范。</w:t>
      </w:r>
    </w:p>
    <w:p>
      <w:pPr>
        <w:pStyle w:val="37"/>
      </w:pPr>
      <w:r>
        <w:rPr>
          <w:rFonts w:hint="eastAsia"/>
        </w:rPr>
        <w:t>员工教育</w:t>
      </w:r>
    </w:p>
    <w:p>
      <w:pPr>
        <w:pStyle w:val="20"/>
        <w:rPr>
          <w:rFonts w:hint="eastAsia"/>
        </w:rPr>
      </w:pPr>
      <w:r>
        <w:rPr>
          <w:rFonts w:hint="eastAsia"/>
        </w:rPr>
        <w:t>总部应建立员工培训与教育体系，加强对门店的监督与指导。</w:t>
      </w:r>
    </w:p>
    <w:p>
      <w:pPr>
        <w:pStyle w:val="37"/>
        <w:rPr>
          <w:rFonts w:hint="eastAsia"/>
        </w:rPr>
      </w:pPr>
      <w:r>
        <w:rPr>
          <w:rFonts w:hint="eastAsia"/>
        </w:rPr>
        <w:t>员工技能</w:t>
      </w:r>
    </w:p>
    <w:p>
      <w:pPr>
        <w:pStyle w:val="20"/>
        <w:rPr>
          <w:rFonts w:hint="eastAsia"/>
        </w:rPr>
      </w:pPr>
      <w:r>
        <w:rPr>
          <w:rFonts w:hint="eastAsia"/>
        </w:rPr>
        <w:t>所有员工需要具备基本的消防安全技能知识，遇到紧急事物能够正确应对。</w:t>
      </w:r>
    </w:p>
    <w:p>
      <w:pPr>
        <w:pStyle w:val="58"/>
        <w:rPr>
          <w:rFonts w:hint="eastAsia"/>
        </w:rPr>
      </w:pPr>
      <w:r>
        <w:rPr>
          <w:rFonts w:hint="eastAsia"/>
        </w:rPr>
        <w:t>普通员工</w:t>
      </w:r>
    </w:p>
    <w:p>
      <w:pPr>
        <w:pStyle w:val="20"/>
        <w:rPr>
          <w:rFonts w:hint="eastAsia"/>
        </w:rPr>
      </w:pPr>
      <w:r>
        <w:rPr>
          <w:rFonts w:hint="eastAsia"/>
        </w:rPr>
        <w:t>应具备初中毕业及以上文化程度，通过岗前培训，掌握相关岗位业务知识。</w:t>
      </w:r>
    </w:p>
    <w:p>
      <w:pPr>
        <w:pStyle w:val="58"/>
        <w:rPr>
          <w:rFonts w:hint="eastAsia"/>
        </w:rPr>
      </w:pPr>
      <w:r>
        <w:rPr>
          <w:rFonts w:hint="eastAsia"/>
        </w:rPr>
        <w:t>信息技术类员工</w:t>
      </w:r>
    </w:p>
    <w:p>
      <w:pPr>
        <w:pStyle w:val="58"/>
        <w:numPr>
          <w:ilvl w:val="0"/>
          <w:numId w:val="0"/>
        </w:numPr>
        <w:ind w:firstLine="426"/>
        <w:rPr>
          <w:rFonts w:hint="eastAsia"/>
          <w:color w:val="000000"/>
        </w:rPr>
      </w:pPr>
      <w:r>
        <w:rPr>
          <w:rFonts w:hint="eastAsia"/>
          <w:color w:val="000000"/>
        </w:rPr>
        <w:t>应具备大专毕业及以上文化程度，熟悉计算机基础知识、具备维护信息技术支持的能力。</w:t>
      </w:r>
    </w:p>
    <w:p>
      <w:pPr>
        <w:pStyle w:val="37"/>
        <w:rPr>
          <w:rFonts w:hint="eastAsia"/>
        </w:rPr>
      </w:pPr>
      <w:r>
        <w:rPr>
          <w:rFonts w:hint="eastAsia"/>
        </w:rPr>
        <w:t>员工管理</w:t>
      </w:r>
    </w:p>
    <w:p>
      <w:pPr>
        <w:pStyle w:val="58"/>
        <w:rPr>
          <w:rFonts w:hint="eastAsia"/>
        </w:rPr>
      </w:pPr>
      <w:r>
        <w:rPr>
          <w:rFonts w:hint="eastAsia"/>
        </w:rPr>
        <w:t>建立完善员工管理制度</w:t>
      </w:r>
    </w:p>
    <w:p>
      <w:pPr>
        <w:pStyle w:val="43"/>
        <w:numPr>
          <w:ilvl w:val="0"/>
          <w:numId w:val="0"/>
        </w:numPr>
        <w:ind w:firstLine="426"/>
        <w:rPr>
          <w:rFonts w:hint="eastAsia"/>
        </w:rPr>
      </w:pPr>
      <w:r>
        <w:rPr>
          <w:rFonts w:hint="eastAsia"/>
        </w:rPr>
        <w:t>薪酬制度、人事制度、行政制度、绩效考核制度、考勤制度、各岗位职责说明书。</w:t>
      </w:r>
    </w:p>
    <w:p>
      <w:pPr>
        <w:pStyle w:val="58"/>
        <w:rPr>
          <w:rFonts w:hint="eastAsia"/>
        </w:rPr>
      </w:pPr>
      <w:r>
        <w:rPr>
          <w:rFonts w:hint="eastAsia"/>
        </w:rPr>
        <w:t>建立完善各类管理规范</w:t>
      </w:r>
    </w:p>
    <w:p>
      <w:pPr>
        <w:pStyle w:val="43"/>
        <w:numPr>
          <w:ilvl w:val="0"/>
          <w:numId w:val="0"/>
        </w:numPr>
        <w:ind w:firstLine="426"/>
        <w:rPr>
          <w:rFonts w:hint="eastAsia"/>
        </w:rPr>
      </w:pPr>
      <w:r>
        <w:rPr>
          <w:rFonts w:hint="eastAsia"/>
        </w:rPr>
        <w:t>卫生管理规范、员工行为规范、日常管理制度等。</w:t>
      </w:r>
    </w:p>
    <w:p>
      <w:pPr>
        <w:pStyle w:val="40"/>
      </w:pPr>
      <w:r>
        <w:rPr>
          <w:rFonts w:hint="eastAsia"/>
        </w:rPr>
        <w:t>质量管理与改进</w:t>
      </w:r>
    </w:p>
    <w:p>
      <w:pPr>
        <w:pStyle w:val="37"/>
      </w:pPr>
      <w:r>
        <w:rPr>
          <w:rFonts w:hint="eastAsia"/>
        </w:rPr>
        <w:t xml:space="preserve"> 质量管理</w:t>
      </w:r>
    </w:p>
    <w:p>
      <w:pPr>
        <w:pStyle w:val="58"/>
      </w:pPr>
      <w:r>
        <w:rPr>
          <w:rFonts w:hint="eastAsia"/>
        </w:rPr>
        <w:t>管理机构健全，各项管理制度完备；各种经营执照、许可证件齐全。</w:t>
      </w:r>
    </w:p>
    <w:p>
      <w:pPr>
        <w:pStyle w:val="58"/>
      </w:pPr>
      <w:r>
        <w:rPr>
          <w:rFonts w:hint="eastAsia"/>
        </w:rPr>
        <w:t>应在服务区域显著位置设置服务内容、服务价格表。</w:t>
      </w:r>
    </w:p>
    <w:p>
      <w:pPr>
        <w:pStyle w:val="58"/>
        <w:rPr>
          <w:rFonts w:hint="eastAsia"/>
        </w:rPr>
      </w:pPr>
      <w:r>
        <w:rPr>
          <w:rFonts w:hint="eastAsia"/>
        </w:rPr>
        <w:t>应建立各类业务服务流程质量规范，有效实施并记录。</w:t>
      </w:r>
    </w:p>
    <w:p>
      <w:pPr>
        <w:pStyle w:val="58"/>
        <w:rPr>
          <w:rFonts w:hint="eastAsia"/>
        </w:rPr>
      </w:pPr>
      <w:r>
        <w:rPr>
          <w:rFonts w:hint="eastAsia"/>
        </w:rPr>
        <w:t>建立信息化商品管理系统平台，对商品价格、数量、质量、销售情况等数据实施监控，设置数据临界值报警机制，便于经营者做出相应调整，满足顾客需求。</w:t>
      </w:r>
    </w:p>
    <w:p>
      <w:pPr>
        <w:pStyle w:val="58"/>
      </w:pPr>
      <w:r>
        <w:rPr>
          <w:rFonts w:hint="eastAsia"/>
        </w:rPr>
        <w:t>在线商品应在显著位置标明商品价格及商品说明。</w:t>
      </w:r>
    </w:p>
    <w:p>
      <w:pPr>
        <w:pStyle w:val="37"/>
      </w:pPr>
      <w:r>
        <w:rPr>
          <w:rFonts w:hint="eastAsia"/>
        </w:rPr>
        <w:t>持续改进</w:t>
      </w:r>
    </w:p>
    <w:p>
      <w:pPr>
        <w:pStyle w:val="58"/>
      </w:pPr>
      <w:r>
        <w:rPr>
          <w:rFonts w:hint="eastAsia"/>
        </w:rPr>
        <w:t>便民服务结束后，应请求顾客对该次服务的质量做出评价和提出改进的建议。</w:t>
      </w:r>
    </w:p>
    <w:p>
      <w:pPr>
        <w:pStyle w:val="58"/>
      </w:pPr>
      <w:r>
        <w:rPr>
          <w:rFonts w:hint="eastAsia"/>
        </w:rPr>
        <w:t>应公开咨询、投诉电话，安排专人负责处理顾客的投诉。对顾客的投诉应热情接待，仔细倾听，认真记录，调查核实，及时处理，达到顾客满意。</w:t>
      </w:r>
    </w:p>
    <w:p>
      <w:pPr>
        <w:pStyle w:val="58"/>
      </w:pPr>
      <w:r>
        <w:rPr>
          <w:rFonts w:hint="eastAsia"/>
        </w:rPr>
        <w:t xml:space="preserve"> 应定期对顾客的评价进行统计分析，量化和权重满意度指标，对评价结果采取相应的改进措施。</w:t>
      </w:r>
    </w:p>
    <w:p>
      <w:pPr>
        <w:pStyle w:val="58"/>
        <w:rPr>
          <w:rFonts w:hint="eastAsia"/>
        </w:rPr>
      </w:pPr>
      <w:r>
        <w:rPr>
          <w:rFonts w:hint="eastAsia"/>
        </w:rPr>
        <w:t>应利用满意度调查、投诉处理、内部检查、员工合理化建议、市场调查等信息，寻求持续改进。</w:t>
      </w:r>
    </w:p>
    <w:p>
      <w:pPr>
        <w:pStyle w:val="58"/>
        <w:rPr>
          <w:rFonts w:hint="eastAsia"/>
        </w:rPr>
      </w:pPr>
      <w:r>
        <w:rPr>
          <w:rFonts w:hint="eastAsia"/>
        </w:rPr>
        <w:t>对在线消费的顾客应建立互联网客户信息平台向顾客征集服务质量评价，对评价结果及时反馈至综合信息网络系统平台，进行大数据分析，以便公司总部对服务、商品质量提出改进措施。</w:t>
      </w:r>
    </w:p>
    <w:p>
      <w:pPr>
        <w:pStyle w:val="40"/>
        <w:rPr>
          <w:rFonts w:hint="eastAsia"/>
        </w:rPr>
      </w:pPr>
      <w:r>
        <w:rPr>
          <w:rFonts w:hint="eastAsia"/>
        </w:rPr>
        <w:t>环境与卫生</w:t>
      </w:r>
    </w:p>
    <w:p>
      <w:pPr>
        <w:pStyle w:val="20"/>
      </w:pPr>
      <w:r>
        <w:rPr>
          <w:rFonts w:hint="eastAsia"/>
        </w:rPr>
        <w:t>各项设施设备符合国家关于节能及环境保护的要求，餐饮服务符合国家关于食品卫生的规定。</w:t>
      </w:r>
    </w:p>
    <w:p>
      <w:pPr>
        <w:pStyle w:val="40"/>
      </w:pPr>
      <w:r>
        <w:rPr>
          <w:rFonts w:hint="eastAsia"/>
        </w:rPr>
        <w:t xml:space="preserve"> 安全与应急管理</w:t>
      </w:r>
    </w:p>
    <w:p>
      <w:pPr>
        <w:pStyle w:val="37"/>
      </w:pPr>
      <w:r>
        <w:rPr>
          <w:rFonts w:hint="eastAsia"/>
        </w:rPr>
        <w:t xml:space="preserve"> 安全</w:t>
      </w:r>
    </w:p>
    <w:p>
      <w:pPr>
        <w:pStyle w:val="58"/>
      </w:pPr>
      <w:r>
        <w:rPr>
          <w:rFonts w:hint="eastAsia"/>
        </w:rPr>
        <w:t>认真执行国家有关安全管理的规定。消防、防盗等设施齐全、完好、有效。</w:t>
      </w:r>
    </w:p>
    <w:p>
      <w:pPr>
        <w:pStyle w:val="58"/>
      </w:pPr>
      <w:r>
        <w:rPr>
          <w:rFonts w:hint="eastAsia"/>
        </w:rPr>
        <w:t>应定期对员工进行安全教育，树立安全第一、预防为主的观点。</w:t>
      </w:r>
    </w:p>
    <w:p>
      <w:pPr>
        <w:pStyle w:val="58"/>
      </w:pPr>
      <w:r>
        <w:rPr>
          <w:rFonts w:hint="eastAsia"/>
        </w:rPr>
        <w:t>建立电子监控系统，对主要服务区域实施全程监控。</w:t>
      </w:r>
    </w:p>
    <w:p>
      <w:pPr>
        <w:pStyle w:val="58"/>
      </w:pPr>
      <w:r>
        <w:rPr>
          <w:rFonts w:hint="eastAsia"/>
        </w:rPr>
        <w:t>应对顾客个人信息进行保密，不得泄漏。</w:t>
      </w:r>
    </w:p>
    <w:p>
      <w:pPr>
        <w:pStyle w:val="58"/>
        <w:rPr>
          <w:rFonts w:hint="eastAsia"/>
        </w:rPr>
      </w:pPr>
      <w:r>
        <w:rPr>
          <w:rFonts w:hint="eastAsia"/>
        </w:rPr>
        <w:t>建立健全安全档案管理系统。</w:t>
      </w:r>
    </w:p>
    <w:p>
      <w:pPr>
        <w:pStyle w:val="37"/>
      </w:pPr>
      <w:r>
        <w:rPr>
          <w:rFonts w:hint="eastAsia"/>
        </w:rPr>
        <w:t>应急管理</w:t>
      </w:r>
    </w:p>
    <w:p>
      <w:pPr>
        <w:pStyle w:val="58"/>
      </w:pPr>
      <w:r>
        <w:rPr>
          <w:rFonts w:hint="eastAsia"/>
        </w:rPr>
        <w:t>应建立应急管理规范和相应的应急管理措施。</w:t>
      </w:r>
    </w:p>
    <w:p>
      <w:pPr>
        <w:pStyle w:val="58"/>
        <w:rPr>
          <w:rFonts w:hint="eastAsia"/>
        </w:rPr>
      </w:pPr>
      <w:r>
        <w:rPr>
          <w:rFonts w:hint="eastAsia"/>
        </w:rPr>
        <w:t>有突发事件应急处理流程，处理突发事件及时妥当。</w:t>
      </w:r>
    </w:p>
    <w:p>
      <w:pPr>
        <w:pStyle w:val="58"/>
      </w:pPr>
      <w:r>
        <w:rPr>
          <w:rFonts w:hint="eastAsia"/>
        </w:rPr>
        <w:t>利用现代信息技术建立应急系统平台，如建立应急广播系统、消防报警系统等。</w:t>
      </w:r>
    </w:p>
    <w:p>
      <w:pPr>
        <w:pStyle w:val="40"/>
      </w:pPr>
      <w:r>
        <w:rPr>
          <w:rFonts w:hint="eastAsia"/>
        </w:rPr>
        <w:t>客诉处理与维权</w:t>
      </w:r>
    </w:p>
    <w:p>
      <w:pPr>
        <w:pStyle w:val="37"/>
      </w:pPr>
      <w:r>
        <w:rPr>
          <w:rFonts w:hint="eastAsia"/>
        </w:rPr>
        <w:t>客诉种类</w:t>
      </w:r>
    </w:p>
    <w:p>
      <w:pPr>
        <w:pStyle w:val="58"/>
      </w:pPr>
      <w:r>
        <w:rPr>
          <w:rFonts w:hint="eastAsia"/>
        </w:rPr>
        <w:t>对商品质量，价格方面的投诉</w:t>
      </w:r>
    </w:p>
    <w:p>
      <w:pPr>
        <w:pStyle w:val="20"/>
      </w:pPr>
      <w:r>
        <w:rPr>
          <w:rFonts w:hint="eastAsia"/>
        </w:rPr>
        <w:t>过期商品、变质商品、瑕疵商品、商品包装标示不清、结账错误、缺货、商品品质不良造成顾客健康损害或其他副作用。</w:t>
      </w:r>
    </w:p>
    <w:p>
      <w:pPr>
        <w:pStyle w:val="58"/>
      </w:pPr>
      <w:r>
        <w:rPr>
          <w:rFonts w:hint="eastAsia"/>
        </w:rPr>
        <w:t>对工作人员态度，服务方面的投诉：</w:t>
      </w:r>
    </w:p>
    <w:p>
      <w:pPr>
        <w:pStyle w:val="20"/>
      </w:pPr>
      <w:r>
        <w:rPr>
          <w:rFonts w:hint="eastAsia"/>
        </w:rPr>
        <w:t>服务人员态度不佳、缺乏专业知识、其他。</w:t>
      </w:r>
    </w:p>
    <w:p>
      <w:pPr>
        <w:pStyle w:val="58"/>
      </w:pPr>
      <w:r>
        <w:rPr>
          <w:rFonts w:hint="eastAsia"/>
        </w:rPr>
        <w:t>客户受伤投诉</w:t>
      </w:r>
    </w:p>
    <w:p>
      <w:pPr>
        <w:pStyle w:val="20"/>
        <w:rPr>
          <w:rFonts w:hint="eastAsia"/>
        </w:rPr>
      </w:pPr>
      <w:r>
        <w:rPr>
          <w:rFonts w:hint="eastAsia"/>
        </w:rPr>
        <w:t>货架商品掉落伤人、货架倾倒伤人、地面湿滑滑到伤人、试吃区烫伤人、铁卷门断落伤人、在便利店内其他原因造成伤人。</w:t>
      </w:r>
    </w:p>
    <w:p>
      <w:pPr>
        <w:pStyle w:val="58"/>
        <w:rPr>
          <w:rFonts w:hint="eastAsia"/>
        </w:rPr>
      </w:pPr>
      <w:r>
        <w:rPr>
          <w:rFonts w:hint="eastAsia"/>
        </w:rPr>
        <w:t>其它投诉</w:t>
      </w:r>
    </w:p>
    <w:p>
      <w:pPr>
        <w:pStyle w:val="43"/>
        <w:numPr>
          <w:ilvl w:val="0"/>
          <w:numId w:val="0"/>
        </w:numPr>
        <w:ind w:firstLine="426"/>
      </w:pPr>
      <w:r>
        <w:rPr>
          <w:rFonts w:hint="eastAsia"/>
        </w:rPr>
        <w:t>如顾客财务在店内丢失等不可估量的其它投诉。</w:t>
      </w:r>
    </w:p>
    <w:p>
      <w:pPr>
        <w:pStyle w:val="37"/>
        <w:rPr>
          <w:rFonts w:hint="eastAsia"/>
        </w:rPr>
      </w:pPr>
      <w:r>
        <w:rPr>
          <w:rFonts w:hint="eastAsia"/>
        </w:rPr>
        <w:t>客诉处理原则</w:t>
      </w:r>
    </w:p>
    <w:p>
      <w:pPr>
        <w:pStyle w:val="41"/>
        <w:spacing w:beforeLines="0" w:afterLines="0"/>
        <w:rPr>
          <w:rFonts w:hint="eastAsia" w:ascii="宋体" w:hAnsi="宋体" w:eastAsia="宋体"/>
        </w:rPr>
      </w:pPr>
      <w:r>
        <w:rPr>
          <w:rFonts w:hint="eastAsia" w:ascii="宋体" w:hAnsi="宋体" w:eastAsia="宋体"/>
        </w:rPr>
        <w:t>客诉管理</w:t>
      </w:r>
    </w:p>
    <w:p>
      <w:pPr>
        <w:pStyle w:val="108"/>
        <w:ind w:left="142"/>
        <w:rPr>
          <w:rFonts w:hint="eastAsia"/>
        </w:rPr>
      </w:pPr>
      <w:r>
        <w:rPr>
          <w:rFonts w:hint="eastAsia"/>
        </w:rPr>
        <w:t>建立建全完善的客户投诉管理制度。</w:t>
      </w:r>
    </w:p>
    <w:p>
      <w:pPr>
        <w:pStyle w:val="108"/>
        <w:ind w:left="142"/>
      </w:pPr>
      <w:r>
        <w:rPr>
          <w:rFonts w:hint="eastAsia"/>
        </w:rPr>
        <w:t>建立顾客投诉管理平台，做好信息反馈及资料存档工作。</w:t>
      </w:r>
    </w:p>
    <w:p>
      <w:pPr>
        <w:pStyle w:val="41"/>
        <w:spacing w:beforeLines="0" w:afterLines="0"/>
        <w:rPr>
          <w:rFonts w:hint="eastAsia" w:ascii="宋体" w:hAnsi="宋体" w:eastAsia="宋体"/>
        </w:rPr>
      </w:pPr>
      <w:r>
        <w:rPr>
          <w:rFonts w:hint="eastAsia" w:ascii="宋体" w:hAnsi="宋体" w:eastAsia="宋体"/>
        </w:rPr>
        <w:t>客诉接待</w:t>
      </w:r>
    </w:p>
    <w:p>
      <w:pPr>
        <w:pStyle w:val="108"/>
        <w:ind w:left="142"/>
      </w:pPr>
      <w:r>
        <w:rPr>
          <w:rFonts w:hint="eastAsia"/>
        </w:rPr>
        <w:t>在显著区域标明客户投诉方式，便于顾客与经营者进行高效的沟通，配备专人处理投诉。</w:t>
      </w:r>
    </w:p>
    <w:p>
      <w:pPr>
        <w:pStyle w:val="108"/>
        <w:ind w:left="142"/>
      </w:pPr>
      <w:r>
        <w:rPr>
          <w:rFonts w:hint="eastAsia"/>
        </w:rPr>
        <w:t>接到顾客投诉，高度重视，在未了解清楚的情况下，严禁使用否定语句与投诉人沟通。</w:t>
      </w:r>
    </w:p>
    <w:p>
      <w:pPr>
        <w:pStyle w:val="108"/>
        <w:ind w:left="142"/>
      </w:pPr>
      <w:r>
        <w:rPr>
          <w:rFonts w:hint="eastAsia"/>
        </w:rPr>
        <w:t>了解顾客投诉内容包括所投诉时间、部门、涉事人姓名、事件经过、联系方式，进行详细记录，同时了解清楚对方的诉求。不得出现互相推诿、轻视顾客，延误处理而导致客诉升级的责任事件。</w:t>
      </w:r>
    </w:p>
    <w:p>
      <w:pPr>
        <w:pStyle w:val="41"/>
        <w:spacing w:beforeLines="0" w:afterLines="0"/>
        <w:rPr>
          <w:rFonts w:hint="eastAsia" w:ascii="宋体" w:hAnsi="宋体" w:eastAsia="宋体"/>
        </w:rPr>
      </w:pPr>
      <w:r>
        <w:rPr>
          <w:rFonts w:hint="eastAsia" w:ascii="宋体" w:hAnsi="宋体" w:eastAsia="宋体"/>
        </w:rPr>
        <w:t>客诉处理程序</w:t>
      </w:r>
    </w:p>
    <w:p>
      <w:pPr>
        <w:pStyle w:val="108"/>
        <w:ind w:left="142"/>
        <w:rPr>
          <w:rFonts w:hint="eastAsia"/>
        </w:rPr>
      </w:pPr>
      <w:r>
        <w:rPr>
          <w:rFonts w:hint="eastAsia"/>
        </w:rPr>
        <w:t>了解投诉原因，调查了解投诉事件。</w:t>
      </w:r>
    </w:p>
    <w:p>
      <w:pPr>
        <w:pStyle w:val="108"/>
        <w:ind w:left="142"/>
      </w:pPr>
      <w:r>
        <w:rPr>
          <w:rFonts w:hint="eastAsia"/>
        </w:rPr>
        <w:t>核实情况是否属实（电话、</w:t>
      </w:r>
      <w:r>
        <w:rPr>
          <w:rFonts w:hint="eastAsia"/>
          <w:color w:val="000000"/>
        </w:rPr>
        <w:t>网络平台了解，也可现场</w:t>
      </w:r>
      <w:r>
        <w:rPr>
          <w:rFonts w:hint="eastAsia"/>
        </w:rPr>
        <w:t>了解）。</w:t>
      </w:r>
    </w:p>
    <w:p>
      <w:pPr>
        <w:pStyle w:val="108"/>
        <w:ind w:left="142"/>
      </w:pPr>
      <w:r>
        <w:rPr>
          <w:rFonts w:hint="eastAsia"/>
        </w:rPr>
        <w:t>找出被投诉的根源所在，拿出处理意见。</w:t>
      </w:r>
    </w:p>
    <w:p>
      <w:pPr>
        <w:pStyle w:val="41"/>
        <w:spacing w:beforeLines="0" w:afterLines="0"/>
        <w:rPr>
          <w:rFonts w:ascii="宋体" w:hAnsi="宋体" w:eastAsia="宋体"/>
        </w:rPr>
      </w:pPr>
      <w:r>
        <w:rPr>
          <w:rFonts w:hint="eastAsia" w:ascii="宋体" w:hAnsi="宋体" w:eastAsia="宋体"/>
        </w:rPr>
        <w:t>客诉处理方案</w:t>
      </w:r>
    </w:p>
    <w:p>
      <w:pPr>
        <w:pStyle w:val="108"/>
        <w:ind w:left="142"/>
      </w:pPr>
      <w:r>
        <w:rPr>
          <w:rFonts w:hint="eastAsia"/>
        </w:rPr>
        <w:t>根据顾客投诉原因，客服员工拿出处理意见，需时间核实的客诉，接待负责人可承诺在24小时内回复，并做好登记工作；</w:t>
      </w:r>
    </w:p>
    <w:p>
      <w:pPr>
        <w:pStyle w:val="108"/>
        <w:ind w:left="142"/>
      </w:pPr>
      <w:r>
        <w:rPr>
          <w:rFonts w:hint="eastAsia"/>
        </w:rPr>
        <w:t>对要求索赔的投诉事件，接待负责人要向店长汇报，店长可根据客诉情况逐一上报公司相关部门，以便拿出最终解决方案。</w:t>
      </w:r>
    </w:p>
    <w:p>
      <w:pPr>
        <w:pStyle w:val="41"/>
        <w:spacing w:beforeLines="0" w:afterLines="0"/>
        <w:rPr>
          <w:rFonts w:ascii="宋体" w:hAnsi="宋体" w:eastAsia="宋体"/>
        </w:rPr>
      </w:pPr>
      <w:r>
        <w:rPr>
          <w:rFonts w:hint="eastAsia" w:ascii="宋体" w:hAnsi="宋体" w:eastAsia="宋体"/>
        </w:rPr>
        <w:t>客诉持续改进措施</w:t>
      </w:r>
    </w:p>
    <w:p>
      <w:pPr>
        <w:pStyle w:val="108"/>
        <w:ind w:left="142"/>
      </w:pPr>
      <w:r>
        <w:rPr>
          <w:rFonts w:hint="eastAsia"/>
        </w:rPr>
        <w:t>客诉处理结束后，门店开展案例分享、学习；</w:t>
      </w:r>
    </w:p>
    <w:p>
      <w:pPr>
        <w:pStyle w:val="108"/>
        <w:ind w:left="142"/>
      </w:pPr>
      <w:r>
        <w:rPr>
          <w:rFonts w:hint="eastAsia"/>
        </w:rPr>
        <w:t>结合案例找出问题根源，拿出整改措施，并逐一落实；</w:t>
      </w:r>
    </w:p>
    <w:p>
      <w:pPr>
        <w:pStyle w:val="108"/>
        <w:ind w:left="142"/>
        <w:rPr>
          <w:rFonts w:hint="eastAsia"/>
        </w:rPr>
      </w:pPr>
      <w:r>
        <w:rPr>
          <w:rFonts w:hint="eastAsia"/>
        </w:rPr>
        <w:t>客诉事件的处理、整改措施须上传于客诉管理平台备档；</w:t>
      </w:r>
    </w:p>
    <w:p>
      <w:pPr>
        <w:pStyle w:val="108"/>
        <w:ind w:left="142"/>
        <w:rPr>
          <w:rFonts w:hint="eastAsia"/>
        </w:rPr>
      </w:pPr>
      <w:r>
        <w:rPr>
          <w:rFonts w:hint="eastAsia"/>
        </w:rPr>
        <w:t>客诉管理平台需合理利用编号原则进行分类别、分时间、分单位备档，方便数据查询、分析。</w:t>
      </w:r>
    </w:p>
    <w:p>
      <w:pPr>
        <w:pStyle w:val="41"/>
        <w:spacing w:before="156" w:after="156"/>
        <w:rPr>
          <w:rFonts w:hint="eastAsia"/>
        </w:rPr>
      </w:pPr>
      <w:r>
        <w:rPr>
          <w:rFonts w:hint="eastAsia"/>
        </w:rPr>
        <w:t>顾客维权</w:t>
      </w:r>
    </w:p>
    <w:p>
      <w:pPr>
        <w:pStyle w:val="108"/>
        <w:ind w:left="142"/>
        <w:rPr>
          <w:rFonts w:hint="eastAsia"/>
        </w:rPr>
      </w:pPr>
      <w:r>
        <w:rPr>
          <w:rFonts w:hint="eastAsia"/>
        </w:rPr>
        <w:t>应建立便捷、有效的投诉、举报机制，公开投诉、举报方式等信息，及时受理并处理投诉、举报；</w:t>
      </w:r>
    </w:p>
    <w:p>
      <w:pPr>
        <w:pStyle w:val="108"/>
        <w:ind w:left="142"/>
        <w:rPr>
          <w:rFonts w:hint="eastAsia"/>
        </w:rPr>
      </w:pPr>
      <w:r>
        <w:rPr>
          <w:rFonts w:hint="eastAsia"/>
        </w:rPr>
        <w:t>具有争议的可以通过协商和解，或请求消费者组织、行业协会或其他依法成立的调解组织调解，向有关部门投诉，提请仲裁，或者提起诉讼等符合法律法规的方式解决；</w:t>
      </w:r>
    </w:p>
    <w:p>
      <w:pPr>
        <w:pStyle w:val="108"/>
        <w:ind w:left="142"/>
        <w:rPr>
          <w:rFonts w:hint="eastAsia"/>
        </w:rPr>
      </w:pPr>
      <w:r>
        <w:rPr>
          <w:rFonts w:hint="eastAsia"/>
        </w:rPr>
        <w:t>经营者可建立争议在线解决机制，制定并公示争议解决规则，根据自愿原则，公平、公正地解决当事人的争议。</w:t>
      </w:r>
    </w:p>
    <w:p>
      <w:pPr>
        <w:pStyle w:val="124"/>
        <w:rPr>
          <w:rFonts w:hint="eastAsia"/>
        </w:rPr>
      </w:pPr>
      <w:r>
        <w:t>_________________________________</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3"/>
      <w:suff w:val="space"/>
      <w:lvlText w:val="%1"/>
      <w:lvlJc w:val="left"/>
      <w:pPr>
        <w:ind w:left="623" w:hanging="425"/>
      </w:pPr>
      <w:rPr>
        <w:rFonts w:hint="eastAsia"/>
      </w:rPr>
    </w:lvl>
    <w:lvl w:ilvl="1" w:tentative="0">
      <w:start w:val="1"/>
      <w:numFmt w:val="decimal"/>
      <w:pStyle w:val="9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3"/>
      <w:suff w:val="nothing"/>
      <w:lvlText w:val="%1——"/>
      <w:lvlJc w:val="left"/>
      <w:pPr>
        <w:ind w:left="833" w:hanging="408"/>
      </w:pPr>
      <w:rPr>
        <w:rFonts w:hint="eastAsia"/>
      </w:rPr>
    </w:lvl>
    <w:lvl w:ilvl="1" w:tentative="0">
      <w:start w:val="1"/>
      <w:numFmt w:val="bullet"/>
      <w:pStyle w:val="44"/>
      <w:lvlText w:val=""/>
      <w:lvlJc w:val="left"/>
      <w:pPr>
        <w:tabs>
          <w:tab w:val="left" w:pos="760"/>
        </w:tabs>
        <w:ind w:left="1264" w:hanging="413"/>
      </w:pPr>
      <w:rPr>
        <w:rFonts w:hint="default" w:ascii="Symbol" w:hAnsi="Symbol"/>
        <w:color w:val="auto"/>
      </w:rPr>
    </w:lvl>
    <w:lvl w:ilvl="2" w:tentative="0">
      <w:start w:val="1"/>
      <w:numFmt w:val="bullet"/>
      <w:pStyle w:val="5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9"/>
      <w:lvlText w:val="%2)"/>
      <w:lvlJc w:val="left"/>
      <w:pPr>
        <w:tabs>
          <w:tab w:val="left" w:pos="1260"/>
        </w:tabs>
        <w:ind w:left="1259" w:hanging="419"/>
      </w:pPr>
      <w:rPr>
        <w:rFonts w:hint="eastAsia"/>
      </w:rPr>
    </w:lvl>
    <w:lvl w:ilvl="2" w:tentative="0">
      <w:start w:val="1"/>
      <w:numFmt w:val="decimal"/>
      <w:pStyle w:val="5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8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7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8"/>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0"/>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7C8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04EA2"/>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2BBF"/>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C62DE"/>
    <w:rsid w:val="00DD5A29"/>
    <w:rsid w:val="00DD5D9D"/>
    <w:rsid w:val="00DE35CB"/>
    <w:rsid w:val="00DF0672"/>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967422A"/>
    <w:rsid w:val="41BE263A"/>
    <w:rsid w:val="515E190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uiPriority w:val="0"/>
  </w:style>
  <w:style w:type="table" w:default="1" w:styleId="34">
    <w:name w:val="Normal Table"/>
    <w:semiHidden/>
    <w:uiPriority w:val="0"/>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footer"/>
    <w:basedOn w:val="1"/>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uiPriority w:val="0"/>
    <w:pPr>
      <w:tabs>
        <w:tab w:val="right" w:leader="dot" w:pos="9242"/>
      </w:tabs>
      <w:spacing w:beforeLines="25" w:afterLines="25"/>
      <w:jc w:val="left"/>
    </w:pPr>
    <w:rPr>
      <w:rFonts w:ascii="宋体"/>
      <w:szCs w:val="21"/>
    </w:rPr>
  </w:style>
  <w:style w:type="paragraph" w:styleId="17">
    <w:name w:val="toc 4"/>
    <w:basedOn w:val="1"/>
    <w:next w:val="1"/>
    <w:semiHidden/>
    <w:uiPriority w:val="0"/>
    <w:pPr>
      <w:tabs>
        <w:tab w:val="right" w:leader="dot" w:pos="9241"/>
      </w:tabs>
      <w:ind w:firstLine="200" w:firstLineChars="200"/>
      <w:jc w:val="left"/>
    </w:pPr>
    <w:rPr>
      <w:rFonts w:ascii="宋体"/>
      <w:szCs w:val="21"/>
    </w:rPr>
  </w:style>
  <w:style w:type="paragraph" w:styleId="18">
    <w:name w:val="index heading"/>
    <w:basedOn w:val="1"/>
    <w:next w:val="19"/>
    <w:uiPriority w:val="0"/>
    <w:pPr>
      <w:spacing w:before="120" w:after="120"/>
      <w:jc w:val="center"/>
    </w:pPr>
    <w:rPr>
      <w:rFonts w:ascii="Calibri" w:hAnsi="Calibri"/>
      <w:b/>
      <w:bCs/>
      <w:iCs/>
      <w:szCs w:val="20"/>
    </w:rPr>
  </w:style>
  <w:style w:type="paragraph" w:styleId="19">
    <w:name w:val="index 1"/>
    <w:basedOn w:val="1"/>
    <w:next w:val="20"/>
    <w:uiPriority w:val="0"/>
    <w:pPr>
      <w:tabs>
        <w:tab w:val="right" w:leader="dot" w:pos="9299"/>
      </w:tabs>
      <w:jc w:val="left"/>
    </w:pPr>
    <w:rPr>
      <w:rFonts w:ascii="宋体"/>
      <w:szCs w:val="21"/>
    </w:rPr>
  </w:style>
  <w:style w:type="paragraph" w:customStyle="1" w:styleId="20">
    <w:name w:val="段"/>
    <w:link w:val="3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uiPriority w:val="0"/>
    <w:pPr>
      <w:tabs>
        <w:tab w:val="right" w:leader="dot" w:pos="9241"/>
      </w:tabs>
      <w:ind w:firstLine="40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endnote reference"/>
    <w:basedOn w:val="28"/>
    <w:semiHidden/>
    <w:qFormat/>
    <w:uiPriority w:val="0"/>
    <w:rPr>
      <w:vertAlign w:val="superscript"/>
    </w:rPr>
  </w:style>
  <w:style w:type="character" w:styleId="30">
    <w:name w:val="page number"/>
    <w:basedOn w:val="28"/>
    <w:uiPriority w:val="0"/>
    <w:rPr>
      <w:rFonts w:ascii="Times New Roman" w:hAnsi="Times New Roman" w:eastAsia="宋体"/>
      <w:sz w:val="18"/>
    </w:rPr>
  </w:style>
  <w:style w:type="character" w:styleId="31">
    <w:name w:val="FollowedHyperlink"/>
    <w:basedOn w:val="28"/>
    <w:qFormat/>
    <w:uiPriority w:val="0"/>
    <w:rPr>
      <w:color w:val="800080"/>
      <w:u w:val="single"/>
    </w:rPr>
  </w:style>
  <w:style w:type="character" w:styleId="32">
    <w:name w:val="Hyperlink"/>
    <w:basedOn w:val="28"/>
    <w:qFormat/>
    <w:uiPriority w:val="0"/>
    <w:rPr>
      <w:color w:val="0000FF"/>
      <w:spacing w:val="0"/>
      <w:w w:val="100"/>
      <w:szCs w:val="21"/>
      <w:u w:val="single"/>
    </w:rPr>
  </w:style>
  <w:style w:type="character" w:styleId="33">
    <w:name w:val="footnote reference"/>
    <w:basedOn w:val="28"/>
    <w:semiHidden/>
    <w:uiPriority w:val="0"/>
    <w:rPr>
      <w:vertAlign w:val="superscript"/>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段 Char"/>
    <w:basedOn w:val="28"/>
    <w:link w:val="20"/>
    <w:qFormat/>
    <w:uiPriority w:val="0"/>
    <w:rPr>
      <w:rFonts w:ascii="宋体"/>
      <w:sz w:val="21"/>
      <w:lang w:val="en-US" w:eastAsia="zh-CN" w:bidi="ar-SA"/>
    </w:rPr>
  </w:style>
  <w:style w:type="paragraph" w:customStyle="1" w:styleId="37">
    <w:name w:val="一级条标题"/>
    <w:next w:val="2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章标题"/>
    <w:next w:val="2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二级条标题"/>
    <w:basedOn w:val="37"/>
    <w:next w:val="20"/>
    <w:qFormat/>
    <w:uiPriority w:val="0"/>
    <w:pPr>
      <w:numPr>
        <w:ilvl w:val="2"/>
      </w:numPr>
      <w:spacing w:before="50" w:after="50"/>
      <w:outlineLvl w:val="3"/>
    </w:p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5">
    <w:name w:val="目次、标准名称标题"/>
    <w:basedOn w:val="1"/>
    <w:next w:val="2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0"/>
    <w:uiPriority w:val="0"/>
    <w:pPr>
      <w:numPr>
        <w:ilvl w:val="3"/>
      </w:numPr>
      <w:outlineLvl w:val="4"/>
    </w:pPr>
  </w:style>
  <w:style w:type="paragraph" w:customStyle="1" w:styleId="47">
    <w:name w:val="示例"/>
    <w:next w:val="4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8">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49">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0">
    <w:name w:val="四级条标题"/>
    <w:basedOn w:val="46"/>
    <w:next w:val="20"/>
    <w:uiPriority w:val="0"/>
    <w:pPr>
      <w:numPr>
        <w:ilvl w:val="4"/>
      </w:numPr>
      <w:outlineLvl w:val="5"/>
    </w:pPr>
  </w:style>
  <w:style w:type="paragraph" w:customStyle="1" w:styleId="51">
    <w:name w:val="五级条标题"/>
    <w:basedOn w:val="50"/>
    <w:next w:val="20"/>
    <w:uiPriority w:val="0"/>
    <w:pPr>
      <w:numPr>
        <w:ilvl w:val="5"/>
      </w:numPr>
      <w:outlineLvl w:val="6"/>
    </w:pPr>
  </w:style>
  <w:style w:type="paragraph" w:customStyle="1" w:styleId="52">
    <w:name w:val="注："/>
    <w:next w:val="20"/>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3">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4">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5">
    <w:name w:val="列项◆（三级）"/>
    <w:basedOn w:val="1"/>
    <w:uiPriority w:val="0"/>
    <w:pPr>
      <w:numPr>
        <w:ilvl w:val="2"/>
        <w:numId w:val="3"/>
      </w:numPr>
    </w:pPr>
    <w:rPr>
      <w:rFonts w:ascii="宋体"/>
      <w:szCs w:val="21"/>
    </w:rPr>
  </w:style>
  <w:style w:type="paragraph" w:customStyle="1" w:styleId="56">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57">
    <w:name w:val="示例×："/>
    <w:basedOn w:val="40"/>
    <w:qFormat/>
    <w:uiPriority w:val="0"/>
    <w:pPr>
      <w:numPr>
        <w:numId w:val="8"/>
      </w:numPr>
      <w:spacing w:beforeLines="0" w:afterLines="0"/>
      <w:outlineLvl w:val="9"/>
    </w:pPr>
    <w:rPr>
      <w:rFonts w:ascii="宋体" w:eastAsia="宋体"/>
      <w:sz w:val="18"/>
      <w:szCs w:val="18"/>
    </w:rPr>
  </w:style>
  <w:style w:type="paragraph" w:customStyle="1" w:styleId="58">
    <w:name w:val="二级无"/>
    <w:basedOn w:val="41"/>
    <w:uiPriority w:val="0"/>
    <w:pPr>
      <w:spacing w:beforeLines="0" w:afterLines="0"/>
    </w:pPr>
    <w:rPr>
      <w:rFonts w:ascii="宋体" w:eastAsia="宋体"/>
    </w:rPr>
  </w:style>
  <w:style w:type="paragraph" w:customStyle="1" w:styleId="59">
    <w:name w:val="注：（正文）"/>
    <w:basedOn w:val="52"/>
    <w:next w:val="20"/>
    <w:uiPriority w:val="0"/>
  </w:style>
  <w:style w:type="paragraph" w:customStyle="1" w:styleId="60">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4">
    <w:name w:val="标准书眉_偶数页"/>
    <w:basedOn w:val="39"/>
    <w:next w:val="1"/>
    <w:qFormat/>
    <w:uiPriority w:val="0"/>
    <w:pPr>
      <w:jc w:val="left"/>
    </w:pPr>
  </w:style>
  <w:style w:type="paragraph" w:customStyle="1" w:styleId="65">
    <w:name w:val="标准书眉一"/>
    <w:qFormat/>
    <w:uiPriority w:val="0"/>
    <w:pPr>
      <w:jc w:val="both"/>
    </w:pPr>
    <w:rPr>
      <w:rFonts w:ascii="Times New Roman" w:hAnsi="Times New Roman" w:eastAsia="宋体" w:cs="Times New Roman"/>
      <w:lang w:val="en-US" w:eastAsia="zh-CN" w:bidi="ar-SA"/>
    </w:rPr>
  </w:style>
  <w:style w:type="paragraph" w:customStyle="1" w:styleId="66">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8">
    <w:name w:val="发布"/>
    <w:basedOn w:val="28"/>
    <w:qFormat/>
    <w:uiPriority w:val="0"/>
    <w:rPr>
      <w:rFonts w:ascii="黑体" w:eastAsia="黑体"/>
      <w:spacing w:val="85"/>
      <w:w w:val="100"/>
      <w:position w:val="3"/>
      <w:sz w:val="28"/>
      <w:szCs w:val="28"/>
    </w:rPr>
  </w:style>
  <w:style w:type="paragraph" w:customStyle="1" w:styleId="69">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英文名称"/>
    <w:basedOn w:val="73"/>
    <w:uiPriority w:val="0"/>
    <w:pPr>
      <w:spacing w:before="370" w:line="400" w:lineRule="exact"/>
    </w:pPr>
    <w:rPr>
      <w:rFonts w:ascii="Times New Roman"/>
      <w:sz w:val="28"/>
      <w:szCs w:val="28"/>
    </w:rPr>
  </w:style>
  <w:style w:type="paragraph" w:customStyle="1" w:styleId="75">
    <w:name w:val="封面一致性程度标识"/>
    <w:basedOn w:val="74"/>
    <w:qFormat/>
    <w:uiPriority w:val="0"/>
    <w:pPr>
      <w:spacing w:before="440"/>
    </w:pPr>
    <w:rPr>
      <w:rFonts w:ascii="宋体" w:eastAsia="宋体"/>
    </w:rPr>
  </w:style>
  <w:style w:type="paragraph" w:customStyle="1" w:styleId="76">
    <w:name w:val="封面标准文稿类别"/>
    <w:basedOn w:val="75"/>
    <w:qFormat/>
    <w:uiPriority w:val="0"/>
    <w:pPr>
      <w:spacing w:after="160" w:line="240" w:lineRule="auto"/>
    </w:pPr>
    <w:rPr>
      <w:sz w:val="24"/>
    </w:rPr>
  </w:style>
  <w:style w:type="paragraph" w:customStyle="1" w:styleId="77">
    <w:name w:val="封面标准文稿编辑信息"/>
    <w:basedOn w:val="76"/>
    <w:qFormat/>
    <w:uiPriority w:val="0"/>
    <w:pPr>
      <w:spacing w:before="180" w:line="180" w:lineRule="exact"/>
    </w:pPr>
    <w:rPr>
      <w:sz w:val="21"/>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标识"/>
    <w:basedOn w:val="1"/>
    <w:next w:val="20"/>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0">
    <w:name w:val="附录标题"/>
    <w:basedOn w:val="20"/>
    <w:next w:val="20"/>
    <w:qFormat/>
    <w:uiPriority w:val="0"/>
    <w:pPr>
      <w:ind w:firstLine="0" w:firstLineChars="0"/>
      <w:jc w:val="center"/>
    </w:pPr>
    <w:rPr>
      <w:rFonts w:ascii="黑体" w:eastAsia="黑体"/>
    </w:rPr>
  </w:style>
  <w:style w:type="paragraph" w:customStyle="1" w:styleId="81">
    <w:name w:val="附录表标号"/>
    <w:basedOn w:val="1"/>
    <w:next w:val="20"/>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2">
    <w:name w:val="附录表标题"/>
    <w:basedOn w:val="1"/>
    <w:next w:val="20"/>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3">
    <w:name w:val="附录二级条标题"/>
    <w:basedOn w:val="1"/>
    <w:next w:val="20"/>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4">
    <w:name w:val="附录二级无"/>
    <w:basedOn w:val="83"/>
    <w:qFormat/>
    <w:uiPriority w:val="0"/>
    <w:pPr>
      <w:tabs>
        <w:tab w:val="clear" w:pos="360"/>
      </w:tabs>
      <w:spacing w:beforeLines="0" w:afterLines="0"/>
    </w:pPr>
    <w:rPr>
      <w:rFonts w:ascii="宋体" w:eastAsia="宋体"/>
      <w:szCs w:val="21"/>
    </w:rPr>
  </w:style>
  <w:style w:type="paragraph" w:customStyle="1" w:styleId="85">
    <w:name w:val="附录公式"/>
    <w:basedOn w:val="20"/>
    <w:next w:val="20"/>
    <w:link w:val="86"/>
    <w:qFormat/>
    <w:uiPriority w:val="0"/>
  </w:style>
  <w:style w:type="character" w:customStyle="1" w:styleId="86">
    <w:name w:val="附录公式 Char"/>
    <w:basedOn w:val="36"/>
    <w:link w:val="85"/>
    <w:qFormat/>
    <w:uiPriority w:val="0"/>
  </w:style>
  <w:style w:type="paragraph" w:customStyle="1" w:styleId="8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88">
    <w:name w:val="附录三级条标题"/>
    <w:basedOn w:val="83"/>
    <w:next w:val="20"/>
    <w:qFormat/>
    <w:uiPriority w:val="0"/>
    <w:pPr>
      <w:numPr>
        <w:ilvl w:val="4"/>
      </w:numPr>
      <w:outlineLvl w:val="4"/>
    </w:pPr>
  </w:style>
  <w:style w:type="paragraph" w:customStyle="1" w:styleId="89">
    <w:name w:val="附录三级无"/>
    <w:basedOn w:val="88"/>
    <w:qFormat/>
    <w:uiPriority w:val="0"/>
    <w:pPr>
      <w:tabs>
        <w:tab w:val="clear" w:pos="360"/>
      </w:tabs>
      <w:spacing w:beforeLines="0" w:afterLines="0"/>
    </w:pPr>
    <w:rPr>
      <w:rFonts w:ascii="宋体" w:eastAsia="宋体"/>
      <w:szCs w:val="21"/>
    </w:rPr>
  </w:style>
  <w:style w:type="paragraph" w:customStyle="1" w:styleId="90">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1">
    <w:name w:val="附录四级条标题"/>
    <w:basedOn w:val="88"/>
    <w:next w:val="20"/>
    <w:qFormat/>
    <w:uiPriority w:val="0"/>
    <w:pPr>
      <w:numPr>
        <w:ilvl w:val="5"/>
      </w:numPr>
      <w:outlineLvl w:val="5"/>
    </w:pPr>
  </w:style>
  <w:style w:type="paragraph" w:customStyle="1" w:styleId="92">
    <w:name w:val="附录四级无"/>
    <w:basedOn w:val="91"/>
    <w:qFormat/>
    <w:uiPriority w:val="0"/>
    <w:pPr>
      <w:tabs>
        <w:tab w:val="clear" w:pos="360"/>
      </w:tabs>
      <w:spacing w:beforeLines="0" w:afterLines="0"/>
    </w:pPr>
    <w:rPr>
      <w:rFonts w:ascii="宋体" w:eastAsia="宋体"/>
      <w:szCs w:val="21"/>
    </w:rPr>
  </w:style>
  <w:style w:type="paragraph" w:customStyle="1" w:styleId="93">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4">
    <w:name w:val="附录图标题"/>
    <w:basedOn w:val="1"/>
    <w:next w:val="20"/>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5">
    <w:name w:val="附录五级条标题"/>
    <w:basedOn w:val="91"/>
    <w:next w:val="20"/>
    <w:qFormat/>
    <w:uiPriority w:val="0"/>
    <w:pPr>
      <w:numPr>
        <w:ilvl w:val="6"/>
      </w:numPr>
      <w:outlineLvl w:val="6"/>
    </w:pPr>
  </w:style>
  <w:style w:type="paragraph" w:customStyle="1" w:styleId="96">
    <w:name w:val="附录五级无"/>
    <w:basedOn w:val="95"/>
    <w:qFormat/>
    <w:uiPriority w:val="0"/>
    <w:pPr>
      <w:tabs>
        <w:tab w:val="clear" w:pos="360"/>
      </w:tabs>
      <w:spacing w:beforeLines="0" w:afterLines="0"/>
    </w:pPr>
    <w:rPr>
      <w:rFonts w:ascii="宋体" w:eastAsia="宋体"/>
      <w:szCs w:val="21"/>
    </w:rPr>
  </w:style>
  <w:style w:type="paragraph" w:customStyle="1" w:styleId="97">
    <w:name w:val="附录章标题"/>
    <w:next w:val="20"/>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附录一级条标题"/>
    <w:basedOn w:val="97"/>
    <w:next w:val="20"/>
    <w:qFormat/>
    <w:uiPriority w:val="0"/>
    <w:pPr>
      <w:numPr>
        <w:ilvl w:val="2"/>
      </w:numPr>
      <w:autoSpaceDN w:val="0"/>
      <w:spacing w:beforeLines="50" w:afterLines="50"/>
      <w:outlineLvl w:val="2"/>
    </w:pPr>
  </w:style>
  <w:style w:type="paragraph" w:customStyle="1" w:styleId="99">
    <w:name w:val="附录一级无"/>
    <w:basedOn w:val="98"/>
    <w:uiPriority w:val="0"/>
    <w:pPr>
      <w:tabs>
        <w:tab w:val="clear" w:pos="360"/>
      </w:tabs>
      <w:spacing w:beforeLines="0" w:afterLines="0"/>
    </w:pPr>
    <w:rPr>
      <w:rFonts w:ascii="宋体" w:eastAsia="宋体"/>
      <w:szCs w:val="21"/>
    </w:rPr>
  </w:style>
  <w:style w:type="paragraph" w:customStyle="1" w:styleId="100">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其他标准标志"/>
    <w:basedOn w:val="61"/>
    <w:qFormat/>
    <w:uiPriority w:val="0"/>
    <w:pPr>
      <w:framePr w:w="6101" w:vAnchor="page" w:hAnchor="page" w:x="4673" w:y="942"/>
    </w:pPr>
    <w:rPr>
      <w:w w:val="130"/>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其他发布部门"/>
    <w:basedOn w:val="69"/>
    <w:qFormat/>
    <w:uiPriority w:val="0"/>
    <w:pPr>
      <w:framePr w:y="15310"/>
      <w:spacing w:line="0" w:lineRule="atLeast"/>
    </w:pPr>
    <w:rPr>
      <w:rFonts w:ascii="黑体" w:eastAsia="黑体"/>
      <w:b w:val="0"/>
    </w:rPr>
  </w:style>
  <w:style w:type="paragraph" w:customStyle="1" w:styleId="107">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三级无"/>
    <w:basedOn w:val="46"/>
    <w:qFormat/>
    <w:uiPriority w:val="0"/>
    <w:pPr>
      <w:spacing w:beforeLines="0" w:afterLines="0"/>
    </w:pPr>
    <w:rPr>
      <w:rFonts w:ascii="宋体" w:eastAsia="宋体"/>
    </w:rPr>
  </w:style>
  <w:style w:type="paragraph" w:customStyle="1" w:styleId="109">
    <w:name w:val="实施日期"/>
    <w:basedOn w:val="70"/>
    <w:uiPriority w:val="0"/>
    <w:pPr>
      <w:framePr w:vAnchor="page"/>
      <w:jc w:val="right"/>
    </w:pPr>
  </w:style>
  <w:style w:type="paragraph" w:customStyle="1" w:styleId="110">
    <w:name w:val="示例后文字"/>
    <w:basedOn w:val="20"/>
    <w:next w:val="20"/>
    <w:qFormat/>
    <w:uiPriority w:val="0"/>
    <w:pPr>
      <w:ind w:firstLine="360"/>
    </w:pPr>
    <w:rPr>
      <w:sz w:val="18"/>
    </w:rPr>
  </w:style>
  <w:style w:type="paragraph" w:customStyle="1" w:styleId="111">
    <w:name w:val="首示例"/>
    <w:next w:val="20"/>
    <w:link w:val="11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2">
    <w:name w:val="首示例 Char"/>
    <w:basedOn w:val="28"/>
    <w:link w:val="111"/>
    <w:qFormat/>
    <w:uiPriority w:val="0"/>
    <w:rPr>
      <w:rFonts w:ascii="宋体" w:hAnsi="宋体"/>
      <w:kern w:val="2"/>
      <w:sz w:val="18"/>
      <w:szCs w:val="18"/>
      <w:lang w:val="en-US" w:eastAsia="zh-CN" w:bidi="ar-SA"/>
    </w:rPr>
  </w:style>
  <w:style w:type="paragraph" w:customStyle="1" w:styleId="113">
    <w:name w:val="四级无"/>
    <w:basedOn w:val="50"/>
    <w:qFormat/>
    <w:uiPriority w:val="0"/>
    <w:pPr>
      <w:spacing w:beforeLines="0" w:afterLines="0"/>
    </w:pPr>
    <w:rPr>
      <w:rFonts w:ascii="宋体" w:eastAsia="宋体"/>
    </w:rPr>
  </w:style>
  <w:style w:type="paragraph" w:customStyle="1" w:styleId="114">
    <w:name w:val="条文脚注"/>
    <w:basedOn w:val="21"/>
    <w:qFormat/>
    <w:uiPriority w:val="0"/>
    <w:pPr>
      <w:numPr>
        <w:numId w:val="0"/>
      </w:numPr>
      <w:jc w:val="both"/>
    </w:pPr>
  </w:style>
  <w:style w:type="paragraph" w:customStyle="1" w:styleId="115">
    <w:name w:val="图标脚注说明"/>
    <w:basedOn w:val="20"/>
    <w:qFormat/>
    <w:uiPriority w:val="0"/>
    <w:pPr>
      <w:ind w:left="840" w:hanging="420" w:firstLineChars="0"/>
    </w:pPr>
    <w:rPr>
      <w:sz w:val="18"/>
      <w:szCs w:val="18"/>
    </w:rPr>
  </w:style>
  <w:style w:type="paragraph" w:customStyle="1" w:styleId="116">
    <w:name w:val="图表脚注说明"/>
    <w:basedOn w:val="1"/>
    <w:qFormat/>
    <w:uiPriority w:val="0"/>
    <w:pPr>
      <w:numPr>
        <w:ilvl w:val="0"/>
        <w:numId w:val="15"/>
      </w:numPr>
    </w:pPr>
    <w:rPr>
      <w:rFonts w:ascii="宋体"/>
      <w:sz w:val="18"/>
      <w:szCs w:val="18"/>
    </w:rPr>
  </w:style>
  <w:style w:type="paragraph" w:customStyle="1" w:styleId="11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9">
    <w:name w:val="五级无"/>
    <w:basedOn w:val="51"/>
    <w:qFormat/>
    <w:uiPriority w:val="0"/>
    <w:pPr>
      <w:spacing w:beforeLines="0" w:afterLines="0"/>
    </w:pPr>
    <w:rPr>
      <w:rFonts w:ascii="宋体" w:eastAsia="宋体"/>
    </w:rPr>
  </w:style>
  <w:style w:type="paragraph" w:customStyle="1" w:styleId="120">
    <w:name w:val="一级无"/>
    <w:basedOn w:val="37"/>
    <w:qFormat/>
    <w:uiPriority w:val="0"/>
    <w:pPr>
      <w:spacing w:beforeLines="0" w:afterLines="0"/>
    </w:pPr>
    <w:rPr>
      <w:rFonts w:ascii="宋体" w:eastAsia="宋体"/>
    </w:rPr>
  </w:style>
  <w:style w:type="paragraph" w:customStyle="1" w:styleId="121">
    <w:name w:val="正文表标题"/>
    <w:next w:val="20"/>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2">
    <w:name w:val="正文公式编号制表符"/>
    <w:basedOn w:val="20"/>
    <w:next w:val="20"/>
    <w:qFormat/>
    <w:uiPriority w:val="0"/>
    <w:pPr>
      <w:ind w:firstLine="0" w:firstLineChars="0"/>
    </w:pPr>
  </w:style>
  <w:style w:type="paragraph" w:customStyle="1" w:styleId="123">
    <w:name w:val="正文图标题"/>
    <w:next w:val="20"/>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70"/>
    <w:qFormat/>
    <w:uiPriority w:val="0"/>
    <w:pPr>
      <w:framePr w:vAnchor="page" w:x="1419"/>
    </w:pPr>
  </w:style>
  <w:style w:type="paragraph" w:customStyle="1" w:styleId="126">
    <w:name w:val="其他实施日期"/>
    <w:basedOn w:val="109"/>
    <w:qFormat/>
    <w:uiPriority w:val="0"/>
  </w:style>
  <w:style w:type="paragraph" w:customStyle="1" w:styleId="127">
    <w:name w:val="封面标准名称2"/>
    <w:basedOn w:val="73"/>
    <w:qFormat/>
    <w:uiPriority w:val="0"/>
    <w:pPr>
      <w:framePr w:y="4469"/>
      <w:spacing w:beforeLines="630"/>
    </w:pPr>
  </w:style>
  <w:style w:type="paragraph" w:customStyle="1" w:styleId="128">
    <w:name w:val="封面标准英文名称2"/>
    <w:basedOn w:val="74"/>
    <w:qFormat/>
    <w:uiPriority w:val="0"/>
    <w:pPr>
      <w:framePr w:y="4469"/>
    </w:pPr>
  </w:style>
  <w:style w:type="paragraph" w:customStyle="1" w:styleId="129">
    <w:name w:val="封面一致性程度标识2"/>
    <w:basedOn w:val="75"/>
    <w:qFormat/>
    <w:uiPriority w:val="0"/>
    <w:pPr>
      <w:framePr w:y="4469"/>
    </w:pPr>
  </w:style>
  <w:style w:type="paragraph" w:customStyle="1" w:styleId="130">
    <w:name w:val="封面标准文稿类别2"/>
    <w:basedOn w:val="76"/>
    <w:qFormat/>
    <w:uiPriority w:val="0"/>
    <w:pPr>
      <w:framePr w:y="4469"/>
    </w:pPr>
  </w:style>
  <w:style w:type="paragraph" w:customStyle="1" w:styleId="131">
    <w:name w:val="封面标准文稿编辑信息2"/>
    <w:basedOn w:val="77"/>
    <w:qFormat/>
    <w:uiPriority w:val="0"/>
    <w:pPr>
      <w:framePr w:y="4469"/>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11.9新零售便利店规范</Template>
  <Company>zle</Company>
  <Pages>8</Pages>
  <Words>752</Words>
  <Characters>4290</Characters>
  <Lines>35</Lines>
  <Paragraphs>10</Paragraphs>
  <TotalTime>10</TotalTime>
  <ScaleCrop>false</ScaleCrop>
  <LinksUpToDate>false</LinksUpToDate>
  <CharactersWithSpaces>5032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2018-11-09T08:25:00Z</dcterms:created>
  <dc:creator>CNIS</dc:creator>
  <cp:lastModifiedBy>米石</cp:lastModifiedBy>
  <dcterms:modified xsi:type="dcterms:W3CDTF">2018-11-26T06:01:25Z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